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9D67" w14:textId="403E3735" w:rsidR="00FE28D7" w:rsidRDefault="00FE28D7" w:rsidP="007C7D89">
      <w:pPr>
        <w:spacing w:line="480" w:lineRule="auto"/>
        <w:jc w:val="center"/>
      </w:pPr>
    </w:p>
    <w:p w14:paraId="2DD8D5E7" w14:textId="7292DD1A" w:rsidR="007C7D89" w:rsidRDefault="007C7D89" w:rsidP="007C7D89">
      <w:pPr>
        <w:spacing w:line="480" w:lineRule="auto"/>
        <w:jc w:val="center"/>
      </w:pPr>
    </w:p>
    <w:p w14:paraId="073914A7" w14:textId="33D9F4DB" w:rsidR="007C7D89" w:rsidRDefault="007C7D89" w:rsidP="007C7D89">
      <w:pPr>
        <w:spacing w:line="480" w:lineRule="auto"/>
        <w:jc w:val="center"/>
      </w:pPr>
    </w:p>
    <w:p w14:paraId="4B933326" w14:textId="2AF81F04" w:rsidR="007C7D89" w:rsidRDefault="007C7D89" w:rsidP="007C7D89">
      <w:pPr>
        <w:spacing w:line="480" w:lineRule="auto"/>
        <w:jc w:val="center"/>
      </w:pPr>
      <w:r w:rsidRPr="007C7D89">
        <w:rPr>
          <w:b/>
          <w:bCs/>
        </w:rPr>
        <w:t>Effect</w:t>
      </w:r>
      <w:r w:rsidR="00BE4B44">
        <w:rPr>
          <w:b/>
          <w:bCs/>
        </w:rPr>
        <w:t xml:space="preserve"> of Needle Exchange Programs on Transmission of HIV, HBV, and HCV in the Injection Drug-Using Population</w:t>
      </w:r>
    </w:p>
    <w:p w14:paraId="15267263" w14:textId="7EFF008D" w:rsidR="007C7D89" w:rsidRDefault="007C7D89" w:rsidP="007C7D89">
      <w:pPr>
        <w:spacing w:line="480" w:lineRule="auto"/>
        <w:jc w:val="center"/>
      </w:pPr>
    </w:p>
    <w:p w14:paraId="17C51118" w14:textId="2B92B12E" w:rsidR="007C7D89" w:rsidRDefault="007C7D89" w:rsidP="007C7D89">
      <w:pPr>
        <w:spacing w:line="480" w:lineRule="auto"/>
        <w:jc w:val="center"/>
      </w:pPr>
      <w:r>
        <w:t xml:space="preserve">Donya </w:t>
      </w:r>
      <w:r w:rsidR="00477751">
        <w:t>S. Marandi</w:t>
      </w:r>
    </w:p>
    <w:p w14:paraId="12049A54" w14:textId="7F4D53D8" w:rsidR="007C7D89" w:rsidRDefault="007C7D89" w:rsidP="007C7D89">
      <w:pPr>
        <w:spacing w:line="480" w:lineRule="auto"/>
        <w:jc w:val="center"/>
      </w:pPr>
      <w:r>
        <w:t>Department of Nursing, The University of Tennessee at Chattanooga</w:t>
      </w:r>
    </w:p>
    <w:p w14:paraId="5496793B" w14:textId="642CB4D4" w:rsidR="007C7D89" w:rsidRDefault="007C7D89" w:rsidP="007C7D89">
      <w:pPr>
        <w:spacing w:line="480" w:lineRule="auto"/>
        <w:jc w:val="center"/>
      </w:pPr>
      <w:r>
        <w:t>NURS 5</w:t>
      </w:r>
      <w:r w:rsidR="00477751">
        <w:t>59</w:t>
      </w:r>
      <w:r>
        <w:t xml:space="preserve">0: </w:t>
      </w:r>
      <w:r w:rsidR="00477751">
        <w:t>Family Nurse Practitioner Final Practicum</w:t>
      </w:r>
    </w:p>
    <w:p w14:paraId="3D1D77A4" w14:textId="2E16C23C" w:rsidR="007C7D89" w:rsidRDefault="00477751" w:rsidP="007C7D89">
      <w:pPr>
        <w:spacing w:line="480" w:lineRule="auto"/>
        <w:jc w:val="center"/>
      </w:pPr>
      <w:r>
        <w:t xml:space="preserve">Dr. Amber Roache and </w:t>
      </w:r>
      <w:r w:rsidR="007C7D89">
        <w:t>Dr.  Leslie Moro</w:t>
      </w:r>
    </w:p>
    <w:p w14:paraId="63E53FFC" w14:textId="74A50001" w:rsidR="007C7D89" w:rsidRDefault="00BF3F81" w:rsidP="007C7D89">
      <w:pPr>
        <w:spacing w:line="480" w:lineRule="auto"/>
        <w:jc w:val="center"/>
      </w:pPr>
      <w:r>
        <w:t>April 17, 2022</w:t>
      </w:r>
    </w:p>
    <w:p w14:paraId="76067628" w14:textId="70EFDBC2" w:rsidR="007C7D89" w:rsidRDefault="007C7D89" w:rsidP="007C7D89">
      <w:pPr>
        <w:spacing w:line="480" w:lineRule="auto"/>
        <w:jc w:val="center"/>
      </w:pPr>
    </w:p>
    <w:p w14:paraId="3CCE8BCD" w14:textId="5AD607B8" w:rsidR="007C7D89" w:rsidRDefault="007C7D89" w:rsidP="007C7D89">
      <w:pPr>
        <w:spacing w:line="480" w:lineRule="auto"/>
        <w:jc w:val="center"/>
      </w:pPr>
    </w:p>
    <w:p w14:paraId="5FF30C49" w14:textId="0A2B42AF" w:rsidR="007C7D89" w:rsidRDefault="007C7D89" w:rsidP="007C7D89">
      <w:pPr>
        <w:spacing w:line="480" w:lineRule="auto"/>
        <w:jc w:val="center"/>
      </w:pPr>
    </w:p>
    <w:p w14:paraId="38A9F836" w14:textId="6BA3F1C7" w:rsidR="007C7D89" w:rsidRDefault="007C7D89" w:rsidP="007C7D89">
      <w:pPr>
        <w:spacing w:line="480" w:lineRule="auto"/>
        <w:jc w:val="center"/>
      </w:pPr>
    </w:p>
    <w:p w14:paraId="0B7F480C" w14:textId="2CFBA570" w:rsidR="007C7D89" w:rsidRDefault="007C7D89" w:rsidP="007C7D89">
      <w:pPr>
        <w:spacing w:line="480" w:lineRule="auto"/>
        <w:jc w:val="center"/>
      </w:pPr>
    </w:p>
    <w:p w14:paraId="4D06928D" w14:textId="10311566" w:rsidR="007C7D89" w:rsidRDefault="007C7D89" w:rsidP="007C7D89">
      <w:pPr>
        <w:spacing w:line="480" w:lineRule="auto"/>
        <w:jc w:val="center"/>
      </w:pPr>
    </w:p>
    <w:p w14:paraId="460EAC4B" w14:textId="3BF4829A" w:rsidR="007C7D89" w:rsidRDefault="007C7D89" w:rsidP="007C7D89">
      <w:pPr>
        <w:spacing w:line="480" w:lineRule="auto"/>
        <w:jc w:val="center"/>
      </w:pPr>
    </w:p>
    <w:p w14:paraId="2E43211E" w14:textId="605A4733" w:rsidR="007C7D89" w:rsidRDefault="007C7D89" w:rsidP="007C7D89">
      <w:pPr>
        <w:spacing w:line="480" w:lineRule="auto"/>
        <w:jc w:val="center"/>
      </w:pPr>
    </w:p>
    <w:p w14:paraId="489EBFE9" w14:textId="77777777" w:rsidR="00BF3F81" w:rsidRDefault="00BF3F81" w:rsidP="00BF3F81">
      <w:pPr>
        <w:spacing w:line="480" w:lineRule="auto"/>
        <w:jc w:val="center"/>
      </w:pPr>
      <w:r w:rsidRPr="007C7D89">
        <w:rPr>
          <w:b/>
          <w:bCs/>
        </w:rPr>
        <w:lastRenderedPageBreak/>
        <w:t>Effect</w:t>
      </w:r>
      <w:r>
        <w:rPr>
          <w:b/>
          <w:bCs/>
        </w:rPr>
        <w:t xml:space="preserve"> of Needle Exchange Programs on Transmission of HIV, HBV, and HCV in the Injection Drug-Using Population</w:t>
      </w:r>
    </w:p>
    <w:p w14:paraId="47DA7261" w14:textId="0AF6A9EC" w:rsidR="005147F5" w:rsidRDefault="0025191E" w:rsidP="007C7D89">
      <w:pPr>
        <w:spacing w:line="480" w:lineRule="auto"/>
      </w:pPr>
      <w:r>
        <w:rPr>
          <w:b/>
          <w:bCs/>
        </w:rPr>
        <w:tab/>
      </w:r>
      <w:r w:rsidR="00BE717E">
        <w:t xml:space="preserve">Intravenous drug use </w:t>
      </w:r>
      <w:r w:rsidR="00AB0E26">
        <w:t xml:space="preserve">has reached epidemic proportions in the United States, </w:t>
      </w:r>
      <w:r w:rsidR="008C7EA0">
        <w:t xml:space="preserve">yet </w:t>
      </w:r>
      <w:r w:rsidR="00BF24A4">
        <w:t>needle exchange programs continue to be a topic of debate (</w:t>
      </w:r>
      <w:r w:rsidR="00CE5F40">
        <w:t>Kim &amp; Harley, 2019).</w:t>
      </w:r>
      <w:r w:rsidR="00EA03B3">
        <w:t xml:space="preserve"> Many persons who inject drugs</w:t>
      </w:r>
      <w:r w:rsidR="00040EB9">
        <w:t xml:space="preserve"> (PWID)</w:t>
      </w:r>
      <w:r w:rsidR="00EA03B3">
        <w:t xml:space="preserve"> share injection equipment, increasing the risk for human immunodeficiency virus (HIV), hepatitis B (HBV), and hepatitis C (HCV) infection (Center for Disease Control and Prevention, 201</w:t>
      </w:r>
      <w:r w:rsidR="001A44B4">
        <w:t>6</w:t>
      </w:r>
      <w:r w:rsidR="00BD4F6D">
        <w:t>a</w:t>
      </w:r>
      <w:r w:rsidR="00EA03B3">
        <w:t xml:space="preserve">). </w:t>
      </w:r>
      <w:r w:rsidR="00040EB9">
        <w:t xml:space="preserve">The viral transmission possibilities between PWID are well known, </w:t>
      </w:r>
      <w:r w:rsidR="005700DE">
        <w:t>but intravenous drug use also increases the risk of</w:t>
      </w:r>
      <w:r w:rsidR="00FD32CE">
        <w:t xml:space="preserve"> skin and cardiovascular infections</w:t>
      </w:r>
      <w:r w:rsidR="00454B16">
        <w:t xml:space="preserve"> and organ damage (</w:t>
      </w:r>
      <w:r w:rsidR="000D26E8">
        <w:t>Kim &amp; Harley, 2019).</w:t>
      </w:r>
      <w:r w:rsidR="005A3DAB">
        <w:t xml:space="preserve"> </w:t>
      </w:r>
    </w:p>
    <w:p w14:paraId="51F99309" w14:textId="18705578" w:rsidR="009B0A4A" w:rsidRDefault="005A3DAB" w:rsidP="00C75D2F">
      <w:pPr>
        <w:spacing w:line="480" w:lineRule="auto"/>
        <w:ind w:firstLine="720"/>
      </w:pPr>
      <w:r>
        <w:t xml:space="preserve">In </w:t>
      </w:r>
      <w:r w:rsidR="004E6290">
        <w:t>PWID</w:t>
      </w:r>
      <w:r>
        <w:t xml:space="preserve">, </w:t>
      </w:r>
      <w:r w:rsidR="009858E7">
        <w:t xml:space="preserve">blood-borne pathogen </w:t>
      </w:r>
      <w:r w:rsidR="000376EF">
        <w:t>transmission</w:t>
      </w:r>
      <w:r>
        <w:t xml:space="preserve"> occurs when</w:t>
      </w:r>
      <w:r w:rsidR="00CA3850">
        <w:t xml:space="preserve"> </w:t>
      </w:r>
      <w:r w:rsidR="00D77F62">
        <w:t>a needle is</w:t>
      </w:r>
      <w:r w:rsidR="0056257B">
        <w:t xml:space="preserve"> inserted</w:t>
      </w:r>
      <w:r w:rsidR="00D77F62">
        <w:t xml:space="preserve"> in an infected person and then reused </w:t>
      </w:r>
      <w:r w:rsidR="00D803B3">
        <w:t>in another individual.</w:t>
      </w:r>
      <w:r w:rsidR="006279E6">
        <w:t xml:space="preserve"> Transmission can also occur with improper syringe and needle cleaning, high-risk sexual behavior in the PWID population, and non-sterile drug mixing practices.</w:t>
      </w:r>
      <w:r w:rsidR="009F3714">
        <w:t xml:space="preserve"> Over a decade ago, available data suggested needle and syringe exchange programs</w:t>
      </w:r>
      <w:r w:rsidR="00CB47EE">
        <w:t xml:space="preserve"> (NS</w:t>
      </w:r>
      <w:r w:rsidR="00094C4F">
        <w:t>Es)</w:t>
      </w:r>
      <w:r w:rsidR="009F3714">
        <w:t xml:space="preserve"> </w:t>
      </w:r>
      <w:r w:rsidR="00A97955">
        <w:t>may reduce viral transmission (</w:t>
      </w:r>
      <w:proofErr w:type="spellStart"/>
      <w:r w:rsidR="00A97955">
        <w:t>Belani</w:t>
      </w:r>
      <w:proofErr w:type="spellEnd"/>
      <w:r w:rsidR="00A97955">
        <w:t xml:space="preserve"> &amp; </w:t>
      </w:r>
      <w:proofErr w:type="spellStart"/>
      <w:r w:rsidR="00A97955">
        <w:t>Muennig</w:t>
      </w:r>
      <w:proofErr w:type="spellEnd"/>
      <w:r w:rsidR="00A97955">
        <w:t>, 2008)</w:t>
      </w:r>
      <w:r w:rsidR="00E116F3">
        <w:t>. Still,</w:t>
      </w:r>
      <w:r w:rsidR="00373923">
        <w:t xml:space="preserve"> public opinion, especially in rural areas, </w:t>
      </w:r>
      <w:r w:rsidR="00963663">
        <w:t xml:space="preserve">remains that </w:t>
      </w:r>
      <w:r w:rsidR="00A54AC0">
        <w:t xml:space="preserve">these programs increase </w:t>
      </w:r>
      <w:r w:rsidR="00874870">
        <w:t>intravenous drug use</w:t>
      </w:r>
      <w:r w:rsidR="0065727A">
        <w:t xml:space="preserve"> (Delgado, 2004)</w:t>
      </w:r>
      <w:r w:rsidR="00CC6A06">
        <w:t>.</w:t>
      </w:r>
      <w:r w:rsidR="00975658">
        <w:t xml:space="preserve"> </w:t>
      </w:r>
      <w:r w:rsidR="00643BAE">
        <w:t>While</w:t>
      </w:r>
      <w:r w:rsidR="00975658">
        <w:t xml:space="preserve"> long</w:t>
      </w:r>
      <w:r w:rsidR="003313BB">
        <w:t xml:space="preserve">-term studies </w:t>
      </w:r>
      <w:r w:rsidR="00CB47EE">
        <w:t xml:space="preserve">regarding the efficacy of </w:t>
      </w:r>
      <w:r w:rsidR="00094C4F">
        <w:t>NSEs are modest</w:t>
      </w:r>
      <w:r w:rsidR="00F3192B">
        <w:t xml:space="preserve">, </w:t>
      </w:r>
      <w:r w:rsidR="00A05087">
        <w:t>it is reasonable to expect a reduction of shared equipment to re</w:t>
      </w:r>
      <w:r w:rsidR="00C47FB5">
        <w:t>duce</w:t>
      </w:r>
      <w:r w:rsidR="00A05087">
        <w:t xml:space="preserve"> virus transmission (Burt &amp; </w:t>
      </w:r>
      <w:proofErr w:type="spellStart"/>
      <w:r w:rsidR="00A05087">
        <w:t>Thiede</w:t>
      </w:r>
      <w:proofErr w:type="spellEnd"/>
      <w:r w:rsidR="00A05087">
        <w:t>, 2016).</w:t>
      </w:r>
      <w:r w:rsidR="000A69F8" w:rsidRPr="000A69F8">
        <w:t xml:space="preserve"> </w:t>
      </w:r>
      <w:r w:rsidR="000A69F8">
        <w:t>This proposed study aims to answer this research question:</w:t>
      </w:r>
      <w:r w:rsidR="000A69F8" w:rsidRPr="00BF3F81">
        <w:t xml:space="preserve"> does access to NSEs </w:t>
      </w:r>
      <w:r w:rsidR="000A69F8">
        <w:t>lessen</w:t>
      </w:r>
      <w:r w:rsidR="000A69F8" w:rsidRPr="00BF3F81">
        <w:t xml:space="preserve"> the risk of HIV, HBV, and HCV transmission in PWID?</w:t>
      </w:r>
    </w:p>
    <w:p w14:paraId="3819AD8B" w14:textId="02FC5DB3" w:rsidR="00BB3719" w:rsidRDefault="00BB3719" w:rsidP="00BB3719">
      <w:pPr>
        <w:spacing w:line="480" w:lineRule="auto"/>
        <w:rPr>
          <w:b/>
          <w:bCs/>
        </w:rPr>
      </w:pPr>
      <w:r w:rsidRPr="00584F76">
        <w:rPr>
          <w:b/>
          <w:bCs/>
        </w:rPr>
        <w:t>Gap in Practice</w:t>
      </w:r>
    </w:p>
    <w:p w14:paraId="6768A426" w14:textId="60F25ECD" w:rsidR="00BF3F81" w:rsidRDefault="009B0A4A" w:rsidP="00C47FB5">
      <w:pPr>
        <w:spacing w:line="480" w:lineRule="auto"/>
        <w:ind w:firstLine="720"/>
      </w:pPr>
      <w:r>
        <w:t xml:space="preserve">Historically, it is challenging to obtain large study samples from such a vulnerable population (Gray et al., 2017). This hurdle in gaining significant data exposes the need for more </w:t>
      </w:r>
      <w:r>
        <w:lastRenderedPageBreak/>
        <w:t xml:space="preserve">research into the effectiveness of NSEs in </w:t>
      </w:r>
      <w:r w:rsidR="00C47FB5">
        <w:t xml:space="preserve">mitigating </w:t>
      </w:r>
      <w:r>
        <w:t>the transmission of viral diseases.</w:t>
      </w:r>
      <w:r w:rsidR="00C045C8">
        <w:t xml:space="preserve"> Unfortunately, the limited data that does exist, while overwhelmingly in favor of NSE benefits, remains shrouded in stigma and the belief that NSEs increase injection drug use (</w:t>
      </w:r>
      <w:r w:rsidR="00C045C8" w:rsidRPr="00C045C8">
        <w:rPr>
          <w:color w:val="303030"/>
          <w:shd w:val="clear" w:color="auto" w:fill="FFFFFF"/>
        </w:rPr>
        <w:t>Academy for Educational Development; National Center for HIV, STD, and TB Prevention; &amp; Division of HIV/AIDS Prevention, 2000</w:t>
      </w:r>
      <w:r w:rsidR="00C045C8">
        <w:rPr>
          <w:color w:val="303030"/>
          <w:shd w:val="clear" w:color="auto" w:fill="FFFFFF"/>
        </w:rPr>
        <w:t>)</w:t>
      </w:r>
      <w:r w:rsidR="00C045C8">
        <w:t xml:space="preserve">. </w:t>
      </w:r>
    </w:p>
    <w:p w14:paraId="4D2BB7B6" w14:textId="5E3D0731" w:rsidR="00C045C8" w:rsidRDefault="00C045C8" w:rsidP="00C47FB5">
      <w:pPr>
        <w:spacing w:line="480" w:lineRule="auto"/>
        <w:ind w:firstLine="720"/>
        <w:rPr>
          <w:rFonts w:cs="Times New Roman"/>
          <w:color w:val="000000"/>
          <w:szCs w:val="24"/>
          <w:shd w:val="clear" w:color="auto" w:fill="FFFFFF"/>
        </w:rPr>
      </w:pPr>
      <w:r>
        <w:t xml:space="preserve">Centers for Disease Control and Prevention </w:t>
      </w:r>
      <w:r w:rsidR="00BD4F6D">
        <w:t xml:space="preserve">(CDC) </w:t>
      </w:r>
      <w:r>
        <w:t xml:space="preserve">(2022) states that </w:t>
      </w:r>
      <w:r w:rsidR="00BA3500">
        <w:t>“</w:t>
      </w:r>
      <w:r w:rsidRPr="00C045C8">
        <w:rPr>
          <w:rFonts w:cs="Times New Roman"/>
          <w:color w:val="000000"/>
          <w:szCs w:val="24"/>
          <w:shd w:val="clear" w:color="auto" w:fill="FFFFFF"/>
        </w:rPr>
        <w:t>language from Congress</w:t>
      </w:r>
      <w:r>
        <w:rPr>
          <w:rFonts w:cs="Times New Roman"/>
          <w:color w:val="000000"/>
          <w:szCs w:val="24"/>
          <w:shd w:val="clear" w:color="auto" w:fill="FFFFFF"/>
        </w:rPr>
        <w:t>…</w:t>
      </w:r>
      <w:r w:rsidRPr="00C045C8">
        <w:rPr>
          <w:rFonts w:cs="Times New Roman"/>
          <w:color w:val="000000"/>
          <w:szCs w:val="24"/>
          <w:shd w:val="clear" w:color="auto" w:fill="FFFFFF"/>
        </w:rPr>
        <w:t xml:space="preserve">permits use of funds from the Department of Health and Human Services (HHS), under certain circumstances, to support </w:t>
      </w:r>
      <w:r>
        <w:rPr>
          <w:rFonts w:cs="Times New Roman"/>
          <w:color w:val="000000"/>
          <w:szCs w:val="24"/>
          <w:shd w:val="clear" w:color="auto" w:fill="FFFFFF"/>
        </w:rPr>
        <w:t xml:space="preserve">[syringe service programs] </w:t>
      </w:r>
      <w:r w:rsidRPr="00C045C8">
        <w:rPr>
          <w:rFonts w:cs="Times New Roman"/>
          <w:color w:val="000000"/>
          <w:szCs w:val="24"/>
          <w:shd w:val="clear" w:color="auto" w:fill="FFFFFF"/>
        </w:rPr>
        <w:t>with the exception that funds may not be used to purchase needles or syringes</w:t>
      </w:r>
      <w:r>
        <w:rPr>
          <w:rFonts w:cs="Times New Roman"/>
          <w:color w:val="000000"/>
          <w:szCs w:val="24"/>
          <w:shd w:val="clear" w:color="auto" w:fill="FFFFFF"/>
        </w:rPr>
        <w:t>.</w:t>
      </w:r>
      <w:r w:rsidR="00BA3500">
        <w:rPr>
          <w:rFonts w:cs="Times New Roman"/>
          <w:color w:val="000000"/>
          <w:szCs w:val="24"/>
          <w:shd w:val="clear" w:color="auto" w:fill="FFFFFF"/>
        </w:rPr>
        <w:t>”</w:t>
      </w:r>
      <w:r>
        <w:rPr>
          <w:rFonts w:cs="Times New Roman"/>
          <w:color w:val="000000"/>
          <w:szCs w:val="24"/>
          <w:shd w:val="clear" w:color="auto" w:fill="FFFFFF"/>
        </w:rPr>
        <w:t xml:space="preserve"> To receive funds, </w:t>
      </w:r>
      <w:r w:rsidR="006279E6">
        <w:rPr>
          <w:rFonts w:cs="Times New Roman"/>
          <w:color w:val="000000"/>
          <w:szCs w:val="24"/>
          <w:shd w:val="clear" w:color="auto" w:fill="FFFFFF"/>
        </w:rPr>
        <w:t xml:space="preserve">each health department must provide evidence to the CDC (2022) that </w:t>
      </w:r>
      <w:r w:rsidR="00BA3500">
        <w:rPr>
          <w:rFonts w:cs="Times New Roman"/>
          <w:color w:val="000000"/>
          <w:szCs w:val="24"/>
          <w:shd w:val="clear" w:color="auto" w:fill="FFFFFF"/>
        </w:rPr>
        <w:t>“</w:t>
      </w:r>
      <w:r w:rsidR="006279E6" w:rsidRPr="006279E6">
        <w:rPr>
          <w:rFonts w:cs="Times New Roman"/>
          <w:color w:val="000000"/>
          <w:szCs w:val="24"/>
          <w:shd w:val="clear" w:color="auto" w:fill="FFFFFF"/>
        </w:rPr>
        <w:t>their jurisdiction is experiencing or</w:t>
      </w:r>
      <w:r w:rsidR="006279E6">
        <w:rPr>
          <w:rFonts w:cs="Times New Roman"/>
          <w:color w:val="000000"/>
          <w:szCs w:val="24"/>
          <w:shd w:val="clear" w:color="auto" w:fill="FFFFFF"/>
        </w:rPr>
        <w:t xml:space="preserve"> [is]</w:t>
      </w:r>
      <w:r w:rsidR="006279E6" w:rsidRPr="006279E6">
        <w:rPr>
          <w:rFonts w:cs="Times New Roman"/>
          <w:color w:val="000000"/>
          <w:szCs w:val="24"/>
          <w:shd w:val="clear" w:color="auto" w:fill="FFFFFF"/>
        </w:rPr>
        <w:t xml:space="preserve"> at risk for significant increases in hepatitis infections or an HIV outbreak due to injection drug use</w:t>
      </w:r>
      <w:r w:rsidR="006279E6">
        <w:rPr>
          <w:rFonts w:cs="Times New Roman"/>
          <w:color w:val="000000"/>
          <w:szCs w:val="24"/>
          <w:shd w:val="clear" w:color="auto" w:fill="FFFFFF"/>
        </w:rPr>
        <w:t xml:space="preserve">. There are currently forty-four states, the District of Columbia, one tribal nation, and one territory that have met the determination of need. </w:t>
      </w:r>
    </w:p>
    <w:p w14:paraId="116A02F1" w14:textId="37DC19F9" w:rsidR="006279E6" w:rsidRDefault="006279E6" w:rsidP="00C47FB5">
      <w:pPr>
        <w:spacing w:line="480" w:lineRule="auto"/>
        <w:ind w:firstLine="720"/>
        <w:rPr>
          <w:rFonts w:cs="Times New Roman"/>
          <w:color w:val="000000"/>
          <w:szCs w:val="24"/>
          <w:shd w:val="clear" w:color="auto" w:fill="FFFFFF"/>
        </w:rPr>
      </w:pPr>
      <w:r>
        <w:rPr>
          <w:rFonts w:cs="Times New Roman"/>
          <w:color w:val="000000"/>
          <w:szCs w:val="24"/>
          <w:shd w:val="clear" w:color="auto" w:fill="FFFFFF"/>
        </w:rPr>
        <w:t xml:space="preserve">Data indicates a national endemic of injection drug use directly correlated to increases in HIV, HBV, and HCV infection rates. </w:t>
      </w:r>
      <w:r w:rsidR="00B476C6">
        <w:rPr>
          <w:rFonts w:cs="Times New Roman"/>
          <w:color w:val="000000"/>
          <w:szCs w:val="24"/>
          <w:shd w:val="clear" w:color="auto" w:fill="FFFFFF"/>
        </w:rPr>
        <w:t>Therefore, i</w:t>
      </w:r>
      <w:r w:rsidR="00D504EF">
        <w:rPr>
          <w:rFonts w:cs="Times New Roman"/>
          <w:color w:val="000000"/>
          <w:szCs w:val="24"/>
          <w:shd w:val="clear" w:color="auto" w:fill="FFFFFF"/>
        </w:rPr>
        <w:t>ncreasing PWID</w:t>
      </w:r>
      <w:r w:rsidR="00BA3500">
        <w:rPr>
          <w:rFonts w:cs="Times New Roman"/>
          <w:color w:val="000000"/>
          <w:szCs w:val="24"/>
          <w:shd w:val="clear" w:color="auto" w:fill="FFFFFF"/>
        </w:rPr>
        <w:t>’</w:t>
      </w:r>
      <w:r w:rsidR="00D504EF">
        <w:rPr>
          <w:rFonts w:cs="Times New Roman"/>
          <w:color w:val="000000"/>
          <w:szCs w:val="24"/>
          <w:shd w:val="clear" w:color="auto" w:fill="FFFFFF"/>
        </w:rPr>
        <w:t>s access to sterile syringes, removing blood-contaminated instruments from circulation, and allowing for safe equipment disposal are essential strategies in combating these rising infection rates</w:t>
      </w:r>
      <w:r w:rsidR="00B476C6">
        <w:rPr>
          <w:rFonts w:cs="Times New Roman"/>
          <w:color w:val="000000"/>
          <w:szCs w:val="24"/>
          <w:shd w:val="clear" w:color="auto" w:fill="FFFFFF"/>
        </w:rPr>
        <w:t xml:space="preserve"> (</w:t>
      </w:r>
      <w:r w:rsidR="00B476C6" w:rsidRPr="00C045C8">
        <w:rPr>
          <w:color w:val="303030"/>
          <w:shd w:val="clear" w:color="auto" w:fill="FFFFFF"/>
        </w:rPr>
        <w:t>Academy for Educational Development; National Center for HIV, STD, and TB Prevention; &amp; Division of HIV/AIDS Prevention, 2000</w:t>
      </w:r>
      <w:r w:rsidR="00B476C6">
        <w:rPr>
          <w:color w:val="303030"/>
          <w:shd w:val="clear" w:color="auto" w:fill="FFFFFF"/>
        </w:rPr>
        <w:t>)</w:t>
      </w:r>
      <w:r w:rsidR="00D504EF">
        <w:rPr>
          <w:rFonts w:cs="Times New Roman"/>
          <w:color w:val="000000"/>
          <w:szCs w:val="24"/>
          <w:shd w:val="clear" w:color="auto" w:fill="FFFFFF"/>
        </w:rPr>
        <w:t>.</w:t>
      </w:r>
      <w:r w:rsidR="0045288A">
        <w:rPr>
          <w:rFonts w:cs="Times New Roman"/>
          <w:color w:val="000000"/>
          <w:szCs w:val="24"/>
          <w:shd w:val="clear" w:color="auto" w:fill="FFFFFF"/>
        </w:rPr>
        <w:t xml:space="preserve"> In addition,</w:t>
      </w:r>
      <w:r w:rsidR="00D504EF">
        <w:rPr>
          <w:rFonts w:cs="Times New Roman"/>
          <w:color w:val="000000"/>
          <w:szCs w:val="24"/>
          <w:shd w:val="clear" w:color="auto" w:fill="FFFFFF"/>
        </w:rPr>
        <w:t xml:space="preserve"> </w:t>
      </w:r>
      <w:r w:rsidR="0045288A">
        <w:rPr>
          <w:rFonts w:cs="Times New Roman"/>
          <w:color w:val="000000"/>
          <w:szCs w:val="24"/>
          <w:shd w:val="clear" w:color="auto" w:fill="FFFFFF"/>
        </w:rPr>
        <w:t xml:space="preserve">NSEs also possess the capability of increasing access to substance abuse treatment, HIV testing and counseling, alcohol swab distribution, crisis intervention, and HIV, tuberculosis, and hepatitis screening. </w:t>
      </w:r>
    </w:p>
    <w:p w14:paraId="77563BBE" w14:textId="1DC9250F" w:rsidR="0045288A" w:rsidRPr="00584F76" w:rsidRDefault="00584F76" w:rsidP="00584F76">
      <w:pPr>
        <w:spacing w:line="480" w:lineRule="auto"/>
        <w:ind w:firstLine="720"/>
        <w:rPr>
          <w:rFonts w:cs="Times New Roman"/>
          <w:color w:val="000000"/>
          <w:szCs w:val="24"/>
          <w:shd w:val="clear" w:color="auto" w:fill="FFFFFF"/>
        </w:rPr>
      </w:pPr>
      <w:r>
        <w:rPr>
          <w:rFonts w:cs="Times New Roman"/>
          <w:color w:val="000000"/>
          <w:szCs w:val="24"/>
          <w:shd w:val="clear" w:color="auto" w:fill="FFFFFF"/>
        </w:rPr>
        <w:t xml:space="preserve">Changes in practice are the purpose of this study. With increasingly available data, healthcare workers nationwide are urged to petition their state legislators to participate in NSEs, </w:t>
      </w:r>
      <w:r>
        <w:rPr>
          <w:rFonts w:cs="Times New Roman"/>
          <w:color w:val="000000"/>
          <w:szCs w:val="24"/>
          <w:shd w:val="clear" w:color="auto" w:fill="FFFFFF"/>
        </w:rPr>
        <w:lastRenderedPageBreak/>
        <w:t xml:space="preserve">increase the availability of the sites, and promote access to primary and secondary prevention. Furthermore, publicly supporting accessible care is a vital first step toward combating the stigma and misinformation accompanying NSEs and PWID. Distributing information from this study may </w:t>
      </w:r>
      <w:proofErr w:type="gramStart"/>
      <w:r>
        <w:rPr>
          <w:rFonts w:cs="Times New Roman"/>
          <w:color w:val="000000"/>
          <w:szCs w:val="24"/>
          <w:shd w:val="clear" w:color="auto" w:fill="FFFFFF"/>
        </w:rPr>
        <w:t>include:</w:t>
      </w:r>
      <w:proofErr w:type="gramEnd"/>
      <w:r>
        <w:rPr>
          <w:rFonts w:cs="Times New Roman"/>
          <w:color w:val="000000"/>
          <w:szCs w:val="24"/>
          <w:shd w:val="clear" w:color="auto" w:fill="FFFFFF"/>
        </w:rPr>
        <w:t xml:space="preserve"> lecturing at undergraduate and graduate level nursing programs, printing and distributing brochures to health departments and medical offices, publishing results in a peer-reviewed journal, and presenting to local legislators and current practitioners.  </w:t>
      </w:r>
    </w:p>
    <w:p w14:paraId="1E0C4D7A" w14:textId="54BCCD8B" w:rsidR="007C7D89" w:rsidRDefault="007155EA" w:rsidP="007C7D89">
      <w:pPr>
        <w:spacing w:line="480" w:lineRule="auto"/>
        <w:rPr>
          <w:b/>
          <w:bCs/>
        </w:rPr>
      </w:pPr>
      <w:r>
        <w:rPr>
          <w:b/>
          <w:bCs/>
        </w:rPr>
        <w:t>Intended Benefit of Study</w:t>
      </w:r>
    </w:p>
    <w:p w14:paraId="3C8B8BD7" w14:textId="622B6983" w:rsidR="007C4466" w:rsidRDefault="00CA3F7A" w:rsidP="00674C83">
      <w:pPr>
        <w:spacing w:line="480" w:lineRule="auto"/>
        <w:ind w:firstLine="720"/>
      </w:pPr>
      <w:r>
        <w:t>Several</w:t>
      </w:r>
      <w:r w:rsidR="00F23938">
        <w:t xml:space="preserve"> interventions</w:t>
      </w:r>
      <w:r w:rsidR="00BB3157">
        <w:t>, including</w:t>
      </w:r>
      <w:r w:rsidR="00960F92">
        <w:t xml:space="preserve"> NSEs,</w:t>
      </w:r>
      <w:r w:rsidR="00F23938">
        <w:t xml:space="preserve"> are</w:t>
      </w:r>
      <w:r w:rsidR="00A212B4">
        <w:t xml:space="preserve"> </w:t>
      </w:r>
      <w:r w:rsidR="00674C83">
        <w:t xml:space="preserve">available </w:t>
      </w:r>
      <w:r w:rsidR="003E2AB9">
        <w:t xml:space="preserve">to prevent or control the transmission of blood-borne pathogens between </w:t>
      </w:r>
      <w:r w:rsidR="0075691A">
        <w:t>PWID (Pollack, 2001)</w:t>
      </w:r>
      <w:r w:rsidR="008566A9">
        <w:t xml:space="preserve">. </w:t>
      </w:r>
      <w:r w:rsidR="00882CE8">
        <w:t>However, even though</w:t>
      </w:r>
      <w:r w:rsidR="000571B0">
        <w:t xml:space="preserve"> these interventions have </w:t>
      </w:r>
      <w:r w:rsidR="00EF35C0">
        <w:t>successfully reduced</w:t>
      </w:r>
      <w:r w:rsidR="00055025">
        <w:t xml:space="preserve"> viral </w:t>
      </w:r>
      <w:r w:rsidR="009B0A4A">
        <w:t>spread</w:t>
      </w:r>
      <w:r w:rsidR="00055025">
        <w:t xml:space="preserve"> in specific settings</w:t>
      </w:r>
      <w:r w:rsidR="00011B40">
        <w:t xml:space="preserve"> </w:t>
      </w:r>
      <w:r w:rsidR="00D6026F">
        <w:t>(</w:t>
      </w:r>
      <w:proofErr w:type="spellStart"/>
      <w:r w:rsidR="008D7207">
        <w:t>Geodel</w:t>
      </w:r>
      <w:proofErr w:type="spellEnd"/>
      <w:r w:rsidR="00FD0917">
        <w:t xml:space="preserve"> et al., </w:t>
      </w:r>
      <w:r w:rsidR="00EF35C0">
        <w:t>2020)</w:t>
      </w:r>
      <w:r w:rsidR="00011B40">
        <w:t>,</w:t>
      </w:r>
      <w:r w:rsidR="00F37BA8">
        <w:t xml:space="preserve"> </w:t>
      </w:r>
      <w:r w:rsidR="00882CE8">
        <w:t>there remain zero government-sanctioned facilities in the United States</w:t>
      </w:r>
      <w:r w:rsidR="00B25CDA">
        <w:t xml:space="preserve"> (Drug Policy Alliance, 2020).</w:t>
      </w:r>
      <w:r w:rsidR="00584F76">
        <w:t xml:space="preserve"> </w:t>
      </w:r>
    </w:p>
    <w:p w14:paraId="3DF77B1E" w14:textId="510D53BA" w:rsidR="009A3935" w:rsidRDefault="003A145B" w:rsidP="003A145B">
      <w:pPr>
        <w:spacing w:line="480" w:lineRule="auto"/>
        <w:ind w:firstLine="720"/>
      </w:pPr>
      <w:r>
        <w:t xml:space="preserve">Along with the noted public health and social benefits of NSEs, they provide a hygienic way to inject drugs when PWID are unprepared to quit. In the United States, infected needles transmit approximately 5,000 cases of HIV per </w:t>
      </w:r>
      <w:r w:rsidR="00253B0D">
        <w:t>year</w:t>
      </w:r>
      <w:r w:rsidR="000A69F8">
        <w:t>,</w:t>
      </w:r>
      <w:r w:rsidR="00253B0D">
        <w:t xml:space="preserve"> and </w:t>
      </w:r>
      <w:r>
        <w:t>the number almost doubles for HCV (</w:t>
      </w:r>
      <w:proofErr w:type="spellStart"/>
      <w:r>
        <w:t>Sawangjit</w:t>
      </w:r>
      <w:proofErr w:type="spellEnd"/>
      <w:r>
        <w:t xml:space="preserve">, Khan, &amp; </w:t>
      </w:r>
      <w:proofErr w:type="spellStart"/>
      <w:r>
        <w:t>Chaiyakunapruk</w:t>
      </w:r>
      <w:proofErr w:type="spellEnd"/>
      <w:r>
        <w:t xml:space="preserve">, 2016). </w:t>
      </w:r>
      <w:r w:rsidR="00D31832">
        <w:t xml:space="preserve">A Vancouver study </w:t>
      </w:r>
      <w:r w:rsidR="009C4D97">
        <w:t>(</w:t>
      </w:r>
      <w:proofErr w:type="spellStart"/>
      <w:r w:rsidR="009C4D97">
        <w:t>Bayoumi</w:t>
      </w:r>
      <w:proofErr w:type="spellEnd"/>
      <w:r w:rsidR="009C4D97">
        <w:t xml:space="preserve"> &amp; </w:t>
      </w:r>
      <w:proofErr w:type="spellStart"/>
      <w:r w:rsidR="009C4D97">
        <w:t>Zaric</w:t>
      </w:r>
      <w:proofErr w:type="spellEnd"/>
      <w:r w:rsidR="009C4D97">
        <w:t>, 2008)</w:t>
      </w:r>
      <w:r w:rsidR="008D1176">
        <w:t xml:space="preserve"> associated NSEs with improved health and cost savings.</w:t>
      </w:r>
      <w:r w:rsidR="00843C69">
        <w:t xml:space="preserve"> </w:t>
      </w:r>
    </w:p>
    <w:p w14:paraId="2CE2C759" w14:textId="3B6666FE" w:rsidR="009A3935" w:rsidRDefault="009A3935" w:rsidP="009A3935">
      <w:pPr>
        <w:spacing w:line="480" w:lineRule="auto"/>
        <w:ind w:firstLine="720"/>
      </w:pPr>
      <w:proofErr w:type="spellStart"/>
      <w:r>
        <w:t>Bayoumi</w:t>
      </w:r>
      <w:proofErr w:type="spellEnd"/>
      <w:r>
        <w:t xml:space="preserve"> &amp; </w:t>
      </w:r>
      <w:proofErr w:type="spellStart"/>
      <w:r>
        <w:t>Zaric</w:t>
      </w:r>
      <w:proofErr w:type="spellEnd"/>
      <w:r>
        <w:t xml:space="preserve"> (2008)</w:t>
      </w:r>
      <w:r w:rsidR="001C1F6F">
        <w:t xml:space="preserve"> observed</w:t>
      </w:r>
      <w:r>
        <w:t xml:space="preserve"> no</w:t>
      </w:r>
      <w:r w:rsidR="001C1F6F">
        <w:t xml:space="preserve"> increase</w:t>
      </w:r>
      <w:r w:rsidR="00C643B0">
        <w:t xml:space="preserve"> in new</w:t>
      </w:r>
      <w:r>
        <w:t xml:space="preserve"> injection</w:t>
      </w:r>
      <w:r w:rsidR="00C643B0">
        <w:t xml:space="preserve"> drug use</w:t>
      </w:r>
      <w:r>
        <w:t xml:space="preserve">. In addition, </w:t>
      </w:r>
      <w:r w:rsidR="003A145B">
        <w:t xml:space="preserve">Wenger, Arreola, and </w:t>
      </w:r>
      <w:proofErr w:type="spellStart"/>
      <w:r w:rsidR="003A145B">
        <w:t>Kral</w:t>
      </w:r>
      <w:proofErr w:type="spellEnd"/>
      <w:r w:rsidR="003A145B">
        <w:t xml:space="preserve"> (2011) noted that about 85% of San Francisco injection drug users reported they would use a Safe Injection Facility.</w:t>
      </w:r>
      <w:r>
        <w:t xml:space="preserve"> </w:t>
      </w:r>
      <w:r w:rsidR="0024252D">
        <w:t>In addition to improved community health and cost savings,</w:t>
      </w:r>
      <w:r>
        <w:t xml:space="preserve"> positive effects include decreased needle sharing and syringe reuse, fewer people injecting drugs in public, and </w:t>
      </w:r>
      <w:r w:rsidR="0024252D">
        <w:t>decreased</w:t>
      </w:r>
      <w:r>
        <w:t xml:space="preserve"> publicly discarded syringes.</w:t>
      </w:r>
      <w:r w:rsidR="001C1F6F">
        <w:t xml:space="preserve"> </w:t>
      </w:r>
    </w:p>
    <w:p w14:paraId="22201A5D" w14:textId="08BBEF94" w:rsidR="007C7D89" w:rsidRPr="009A3935" w:rsidRDefault="00661FEE" w:rsidP="009A3935">
      <w:pPr>
        <w:spacing w:line="480" w:lineRule="auto"/>
      </w:pPr>
      <w:r>
        <w:rPr>
          <w:b/>
          <w:bCs/>
        </w:rPr>
        <w:lastRenderedPageBreak/>
        <w:t>Approval and Ethical Concerns</w:t>
      </w:r>
    </w:p>
    <w:p w14:paraId="6089FDA0" w14:textId="4A385EE6" w:rsidR="00316769" w:rsidRDefault="00AE4DD0" w:rsidP="007C7D89">
      <w:pPr>
        <w:spacing w:line="480" w:lineRule="auto"/>
      </w:pPr>
      <w:r>
        <w:tab/>
      </w:r>
      <w:r w:rsidR="005F4B78">
        <w:t xml:space="preserve">The University of Tennessee at Chattanooga </w:t>
      </w:r>
      <w:r w:rsidR="00277FC3">
        <w:t>(</w:t>
      </w:r>
      <w:r w:rsidR="00FA3F0E">
        <w:t>n.d.</w:t>
      </w:r>
      <w:r w:rsidR="00277FC3">
        <w:t>) requires</w:t>
      </w:r>
      <w:r w:rsidR="00007D6D">
        <w:t xml:space="preserve"> submi</w:t>
      </w:r>
      <w:r w:rsidR="0070594E">
        <w:t>tting</w:t>
      </w:r>
      <w:r w:rsidR="00007D6D">
        <w:t xml:space="preserve"> a research proposal addressing critical ethical concerns</w:t>
      </w:r>
      <w:r w:rsidR="0070594E">
        <w:t xml:space="preserve"> to the</w:t>
      </w:r>
      <w:r w:rsidR="00277FC3">
        <w:t xml:space="preserve"> </w:t>
      </w:r>
      <w:r w:rsidR="00DD382C">
        <w:t>In</w:t>
      </w:r>
      <w:r w:rsidR="003A07D4">
        <w:t>stitutional Review Board</w:t>
      </w:r>
      <w:r w:rsidR="001A402F">
        <w:t xml:space="preserve"> (IRB)</w:t>
      </w:r>
      <w:r w:rsidR="0070594E">
        <w:t xml:space="preserve"> for</w:t>
      </w:r>
      <w:r w:rsidR="003A07D4">
        <w:t xml:space="preserve"> approval</w:t>
      </w:r>
      <w:r w:rsidR="0070594E">
        <w:t xml:space="preserve"> of</w:t>
      </w:r>
      <w:r w:rsidR="003A07D4">
        <w:t xml:space="preserve"> all studies that involve human subjects</w:t>
      </w:r>
      <w:r w:rsidR="0070594E">
        <w:t xml:space="preserve"> (Gray et al., 2017)</w:t>
      </w:r>
      <w:r w:rsidR="003A07D4">
        <w:t>.</w:t>
      </w:r>
      <w:r w:rsidR="00D22CCB">
        <w:t xml:space="preserve"> </w:t>
      </w:r>
      <w:r w:rsidR="00792025">
        <w:t>Nashville NSE program Street Works (2020)</w:t>
      </w:r>
      <w:r w:rsidR="00A2012F">
        <w:t xml:space="preserve"> does not provide any information regarding an I</w:t>
      </w:r>
      <w:r w:rsidR="001A402F">
        <w:t>RB</w:t>
      </w:r>
      <w:r w:rsidR="00A2012F">
        <w:t xml:space="preserve"> </w:t>
      </w:r>
      <w:r w:rsidR="00030B07">
        <w:t>f</w:t>
      </w:r>
      <w:r w:rsidR="00A2012F">
        <w:t>or</w:t>
      </w:r>
      <w:r w:rsidR="0009533B">
        <w:t xml:space="preserve"> research involving human subjects.</w:t>
      </w:r>
      <w:r w:rsidR="003A6939">
        <w:t xml:space="preserve"> However, since this study involves a </w:t>
      </w:r>
      <w:r w:rsidR="003A4EC7">
        <w:t>vulnerable</w:t>
      </w:r>
      <w:r w:rsidR="003A6939">
        <w:t xml:space="preserve"> population, </w:t>
      </w:r>
      <w:r w:rsidR="000618C1">
        <w:t>researchers must consider all avenues for approval</w:t>
      </w:r>
      <w:r w:rsidR="005E0700">
        <w:t>, including the Tennessee Department of Health IRB</w:t>
      </w:r>
      <w:r w:rsidR="00F82AE9">
        <w:t>, if warranted</w:t>
      </w:r>
      <w:r w:rsidR="000618C1">
        <w:t>.</w:t>
      </w:r>
      <w:r w:rsidR="00316769">
        <w:t xml:space="preserve"> </w:t>
      </w:r>
    </w:p>
    <w:p w14:paraId="33C50868" w14:textId="7B819F0D" w:rsidR="00C03EBE" w:rsidRDefault="00316769" w:rsidP="005173A4">
      <w:pPr>
        <w:spacing w:line="480" w:lineRule="auto"/>
      </w:pPr>
      <w:r>
        <w:tab/>
      </w:r>
      <w:r w:rsidR="00030B07">
        <w:t>In medical studies, vulnerable populations are more likely to be unethically treated</w:t>
      </w:r>
      <w:r w:rsidR="00EE3BFF">
        <w:t xml:space="preserve"> (</w:t>
      </w:r>
      <w:r w:rsidR="000A7FCF">
        <w:t xml:space="preserve">Vaughn, 2017). </w:t>
      </w:r>
      <w:r w:rsidR="00F7172A">
        <w:t xml:space="preserve">A sample of PWID likely comes from a </w:t>
      </w:r>
      <w:r w:rsidR="0079653E">
        <w:t>community of socioeconomically disadvantaged</w:t>
      </w:r>
      <w:r w:rsidR="00555AFA">
        <w:t xml:space="preserve"> people</w:t>
      </w:r>
      <w:r w:rsidR="00B87635">
        <w:t>.</w:t>
      </w:r>
      <w:r w:rsidR="00D35582">
        <w:t xml:space="preserve"> </w:t>
      </w:r>
      <w:r w:rsidR="00B87635">
        <w:t>R</w:t>
      </w:r>
      <w:r w:rsidR="00D35582">
        <w:t xml:space="preserve">acial or ethnic minorities and </w:t>
      </w:r>
      <w:r w:rsidR="002C1287">
        <w:t>persons with physical or mental disabilities may be more prevalent (</w:t>
      </w:r>
      <w:proofErr w:type="spellStart"/>
      <w:r w:rsidR="002C1287">
        <w:t>Klinkenberg</w:t>
      </w:r>
      <w:proofErr w:type="spellEnd"/>
      <w:r w:rsidR="00B87635">
        <w:t xml:space="preserve"> et al., 2003)</w:t>
      </w:r>
      <w:r w:rsidR="00D81814">
        <w:t>. R</w:t>
      </w:r>
      <w:r w:rsidR="0000709E">
        <w:t>esearchers</w:t>
      </w:r>
      <w:r w:rsidR="00D81814">
        <w:t xml:space="preserve"> must consider the benefit to society and the subjects without harming the participants</w:t>
      </w:r>
      <w:r w:rsidR="00BA3500">
        <w:t>’</w:t>
      </w:r>
      <w:r w:rsidR="00D81814">
        <w:t xml:space="preserve"> welfare (Vaughn, 2017).</w:t>
      </w:r>
      <w:r w:rsidR="005173A4">
        <w:t xml:space="preserve"> </w:t>
      </w:r>
      <w:r w:rsidR="00F91774">
        <w:t>According to Delgado (</w:t>
      </w:r>
      <w:r w:rsidR="001016B7">
        <w:t xml:space="preserve">2004, p. 172), </w:t>
      </w:r>
      <w:r w:rsidR="00BA3500">
        <w:t>“</w:t>
      </w:r>
      <w:r w:rsidR="009A1AAC">
        <w:t>few drug treatment programs</w:t>
      </w:r>
      <w:r w:rsidR="003C2E46">
        <w:t xml:space="preserve"> have long-term success</w:t>
      </w:r>
      <w:r w:rsidR="00A822E7">
        <w:t>, and many drug</w:t>
      </w:r>
      <w:r w:rsidR="008E4537">
        <w:t xml:space="preserve"> users do not seek treatment</w:t>
      </w:r>
      <w:r w:rsidR="00991050">
        <w:t>.</w:t>
      </w:r>
      <w:r w:rsidR="00BA3500">
        <w:t>”</w:t>
      </w:r>
      <w:r w:rsidR="00512545">
        <w:t xml:space="preserve"> </w:t>
      </w:r>
      <w:r w:rsidR="00C71EF6">
        <w:t xml:space="preserve">However, that does not dismiss the </w:t>
      </w:r>
      <w:r w:rsidR="00ED1190">
        <w:t>validity</w:t>
      </w:r>
      <w:r w:rsidR="00930332">
        <w:t xml:space="preserve"> of NSE accessibility and subsequent util</w:t>
      </w:r>
      <w:r w:rsidR="00982CE9">
        <w:t>ization</w:t>
      </w:r>
      <w:r w:rsidR="00ED1190">
        <w:t xml:space="preserve"> as a form of </w:t>
      </w:r>
      <w:r w:rsidR="00AD41B6">
        <w:t>public health promotion.</w:t>
      </w:r>
      <w:r w:rsidR="00B2616E">
        <w:t xml:space="preserve"> Delgado</w:t>
      </w:r>
      <w:r w:rsidR="00F212DB">
        <w:t xml:space="preserve"> (2004, p. 172)</w:t>
      </w:r>
      <w:r w:rsidR="00B2616E">
        <w:t xml:space="preserve"> continues</w:t>
      </w:r>
      <w:r w:rsidR="00293C82">
        <w:t xml:space="preserve"> to declare</w:t>
      </w:r>
      <w:r w:rsidR="00F212DB">
        <w:t xml:space="preserve"> that</w:t>
      </w:r>
      <w:r w:rsidR="00F04A0B">
        <w:t xml:space="preserve"> </w:t>
      </w:r>
      <w:r w:rsidR="00BA3500">
        <w:t>“</w:t>
      </w:r>
      <w:r w:rsidR="00F04A0B">
        <w:t>health officials… have a responsibility</w:t>
      </w:r>
      <w:r w:rsidR="00EB445B">
        <w:t xml:space="preserve"> to the general public to reduce risks</w:t>
      </w:r>
      <w:r w:rsidR="005D6EC3">
        <w:t xml:space="preserve"> associated with the acts (drug use) they cannot prevent.</w:t>
      </w:r>
      <w:r w:rsidR="00BA3500">
        <w:t>”</w:t>
      </w:r>
      <w:r w:rsidR="005D6EC3">
        <w:t xml:space="preserve"> </w:t>
      </w:r>
    </w:p>
    <w:p w14:paraId="5C59492A" w14:textId="1A6BDA1B" w:rsidR="00575228" w:rsidRDefault="00E07DC4" w:rsidP="005173A4">
      <w:pPr>
        <w:spacing w:line="480" w:lineRule="auto"/>
      </w:pPr>
      <w:r>
        <w:tab/>
      </w:r>
      <w:r w:rsidR="00FD75EB">
        <w:t>Like PWID, undervalued social groups</w:t>
      </w:r>
      <w:r>
        <w:t xml:space="preserve"> </w:t>
      </w:r>
      <w:r w:rsidR="00E92065">
        <w:t xml:space="preserve">may be subject </w:t>
      </w:r>
      <w:r w:rsidR="00FD75EB">
        <w:t>t</w:t>
      </w:r>
      <w:r w:rsidR="00E92065">
        <w:t>o social vulnerability (</w:t>
      </w:r>
      <w:r w:rsidR="0030415D">
        <w:t xml:space="preserve">Collaborative Institutional Training Initiative, </w:t>
      </w:r>
      <w:r w:rsidR="00DB4CB5">
        <w:t>2019)</w:t>
      </w:r>
      <w:r w:rsidR="00576B31">
        <w:t>.</w:t>
      </w:r>
      <w:r w:rsidR="000E0A35">
        <w:t xml:space="preserve"> Researchers may unknowingly perceive this group as </w:t>
      </w:r>
      <w:r w:rsidR="00FB46CB">
        <w:t>less valuable to society</w:t>
      </w:r>
      <w:r w:rsidR="008B31F4">
        <w:t xml:space="preserve">, </w:t>
      </w:r>
      <w:r w:rsidR="00030B07">
        <w:t>increasing</w:t>
      </w:r>
      <w:r w:rsidR="008B31F4">
        <w:t xml:space="preserve"> concerns for risks and increasing the likelihood of exploitation (Collaborative Institutional Training Initiative, 2019).</w:t>
      </w:r>
      <w:r w:rsidR="00401217">
        <w:t xml:space="preserve"> First, all persons involved in the research study must complete their </w:t>
      </w:r>
      <w:r w:rsidR="00092B93">
        <w:t xml:space="preserve">institutional </w:t>
      </w:r>
      <w:r w:rsidR="00BD4F6D">
        <w:t xml:space="preserve">Collaborative Institutional Training </w:t>
      </w:r>
      <w:r w:rsidR="00BD4F6D">
        <w:lastRenderedPageBreak/>
        <w:t>Initiative (</w:t>
      </w:r>
      <w:r w:rsidR="00092B93">
        <w:t>CITI</w:t>
      </w:r>
      <w:r w:rsidR="00BD4F6D">
        <w:t>)</w:t>
      </w:r>
      <w:r w:rsidR="00092B93">
        <w:t xml:space="preserve"> training on human subject research.</w:t>
      </w:r>
      <w:r w:rsidR="00DB0449">
        <w:t xml:space="preserve"> Second, each researcher must reflect on any personal bias and report any to the lead researcher.</w:t>
      </w:r>
      <w:r w:rsidR="002575A8">
        <w:t xml:space="preserve"> Researchers will report all biases in the final study report.</w:t>
      </w:r>
    </w:p>
    <w:p w14:paraId="347ABB66" w14:textId="75E55806" w:rsidR="00E07DC4" w:rsidRDefault="00575228" w:rsidP="005173A4">
      <w:pPr>
        <w:spacing w:line="480" w:lineRule="auto"/>
      </w:pPr>
      <w:r>
        <w:tab/>
        <w:t xml:space="preserve">Vulnerability </w:t>
      </w:r>
      <w:r w:rsidR="00FE6A5F">
        <w:t>due to economic disadvantage or social marginalization is another ethical concern</w:t>
      </w:r>
      <w:r w:rsidR="00993F83">
        <w:t>.</w:t>
      </w:r>
      <w:r w:rsidR="00FE6A5F">
        <w:t xml:space="preserve"> </w:t>
      </w:r>
      <w:r w:rsidR="00030B07">
        <w:t>If monetary compensation is involved, PWID may feel more compelled to participate in this study</w:t>
      </w:r>
      <w:r w:rsidR="00702F6E">
        <w:t xml:space="preserve">. </w:t>
      </w:r>
      <w:r w:rsidR="006773C0">
        <w:t>Additionally, they may view the study as</w:t>
      </w:r>
      <w:r w:rsidR="00030B07">
        <w:t xml:space="preserve"> more available</w:t>
      </w:r>
      <w:r w:rsidR="00993F83">
        <w:t xml:space="preserve"> access </w:t>
      </w:r>
      <w:r w:rsidR="00030B07">
        <w:t xml:space="preserve">to </w:t>
      </w:r>
      <w:r w:rsidR="00993F83">
        <w:t>medical resources (Collaborative Institutional Training Initiative, 2019).</w:t>
      </w:r>
      <w:r w:rsidR="000276B8">
        <w:t xml:space="preserve"> T</w:t>
      </w:r>
      <w:r w:rsidR="00030B07">
        <w:t>he researchers will present informed consent to allow the participants to understand their rights as human research subjects to address these ethical concerns</w:t>
      </w:r>
      <w:r w:rsidR="00441B91">
        <w:t>.</w:t>
      </w:r>
      <w:r w:rsidR="00030B07">
        <w:t xml:space="preserve"> Researchers will assure confidentiality of records and personal health information.</w:t>
      </w:r>
      <w:r w:rsidR="00AF49EF">
        <w:t xml:space="preserve"> Participants will be allowed to withdraw from the study at any time and for any reason. </w:t>
      </w:r>
      <w:r w:rsidR="00120C3C">
        <w:t xml:space="preserve">To assess comprehension of informed consent, researchers will have the </w:t>
      </w:r>
      <w:r w:rsidR="008C074A">
        <w:t xml:space="preserve">prospective subjects complete a questionnaire </w:t>
      </w:r>
      <w:r w:rsidR="00BA3500">
        <w:t>“</w:t>
      </w:r>
      <w:r w:rsidR="008C074A">
        <w:t>examining their understanding of consent information</w:t>
      </w:r>
      <w:r w:rsidR="00590A01">
        <w:t>.</w:t>
      </w:r>
      <w:r w:rsidR="00BA3500">
        <w:t>”</w:t>
      </w:r>
      <w:r w:rsidR="00590A01">
        <w:t xml:space="preserve"> (Gray et al., 2017, p. 178)</w:t>
      </w:r>
      <w:r w:rsidR="000276B8">
        <w:t xml:space="preserve"> </w:t>
      </w:r>
      <w:r w:rsidR="00993F83">
        <w:t xml:space="preserve">  </w:t>
      </w:r>
      <w:r w:rsidR="006773C0">
        <w:t xml:space="preserve"> </w:t>
      </w:r>
      <w:r w:rsidR="001A44D0">
        <w:t xml:space="preserve"> </w:t>
      </w:r>
      <w:r w:rsidR="002575A8">
        <w:t xml:space="preserve">  </w:t>
      </w:r>
      <w:r w:rsidR="00DB0449">
        <w:t xml:space="preserve"> </w:t>
      </w:r>
      <w:r w:rsidR="00891247">
        <w:t xml:space="preserve"> </w:t>
      </w:r>
      <w:r w:rsidR="008B31F4">
        <w:t xml:space="preserve"> </w:t>
      </w:r>
    </w:p>
    <w:p w14:paraId="40857C5B" w14:textId="3E3F5842" w:rsidR="007C7D89" w:rsidRDefault="007C7D89" w:rsidP="007C7D89">
      <w:pPr>
        <w:spacing w:line="480" w:lineRule="auto"/>
        <w:rPr>
          <w:b/>
          <w:bCs/>
        </w:rPr>
      </w:pPr>
      <w:r>
        <w:rPr>
          <w:b/>
          <w:bCs/>
        </w:rPr>
        <w:t>Theoretical Framework</w:t>
      </w:r>
    </w:p>
    <w:p w14:paraId="3B4B8712" w14:textId="41D4B729" w:rsidR="0074329D" w:rsidRDefault="004E6E1D" w:rsidP="00A55D89">
      <w:pPr>
        <w:spacing w:line="480" w:lineRule="auto"/>
        <w:ind w:firstLine="720"/>
      </w:pPr>
      <w:r>
        <w:t xml:space="preserve">The Health Promotion Model, developed by Nola J. Pender, defines health as a dynamic state, not just an absence of disease (Nursing Theory, 2020). </w:t>
      </w:r>
      <w:r w:rsidR="00E94A0D">
        <w:t>In other words, health promotion</w:t>
      </w:r>
      <w:r w:rsidR="00BA27E1">
        <w:t xml:space="preserve"> aims to increase a person</w:t>
      </w:r>
      <w:r w:rsidR="00BA3500">
        <w:t>’</w:t>
      </w:r>
      <w:r w:rsidR="00BA27E1">
        <w:t xml:space="preserve">s level of well-being. </w:t>
      </w:r>
      <w:r w:rsidR="003E396A">
        <w:t>Pender acknowledges that each person has unique experiences and characteristics</w:t>
      </w:r>
      <w:r w:rsidR="000E1B55">
        <w:t xml:space="preserve"> that affect actions and subsequent outcomes.</w:t>
      </w:r>
      <w:r w:rsidR="00F76E9B">
        <w:t xml:space="preserve"> These variables</w:t>
      </w:r>
      <w:r w:rsidR="007013DB">
        <w:t xml:space="preserve"> </w:t>
      </w:r>
      <w:r w:rsidR="00BA3500">
        <w:t>“</w:t>
      </w:r>
      <w:r w:rsidR="007013DB">
        <w:t>have important motivational significance</w:t>
      </w:r>
      <w:r w:rsidR="00BA3500">
        <w:t>”</w:t>
      </w:r>
      <w:r w:rsidR="007013DB">
        <w:t xml:space="preserve"> and </w:t>
      </w:r>
      <w:r w:rsidR="00F76E9B">
        <w:t>may be modified through nursing actions (Nursing Theory, 2020,</w:t>
      </w:r>
      <w:r w:rsidR="007B12A5">
        <w:t xml:space="preserve"> para 2). </w:t>
      </w:r>
      <w:r w:rsidR="0074329D">
        <w:t>This theory</w:t>
      </w:r>
      <w:r w:rsidR="00BA3500">
        <w:t>’</w:t>
      </w:r>
      <w:r w:rsidR="0074329D">
        <w:t>s essential concepts</w:t>
      </w:r>
      <w:r w:rsidR="00A55D89">
        <w:t xml:space="preserve"> include individuals</w:t>
      </w:r>
      <w:r w:rsidR="00BA3500">
        <w:t>’</w:t>
      </w:r>
      <w:r w:rsidR="00A55D89">
        <w:t xml:space="preserve"> perceived benefits</w:t>
      </w:r>
      <w:r w:rsidR="0065213B">
        <w:t xml:space="preserve"> and barriers, interpersonal influences</w:t>
      </w:r>
      <w:r w:rsidR="0074329D">
        <w:t>, and situational influences.</w:t>
      </w:r>
    </w:p>
    <w:p w14:paraId="2F0AEE29" w14:textId="07B0E9A9" w:rsidR="00A04AC6" w:rsidRDefault="00EC35CB" w:rsidP="003A683A">
      <w:pPr>
        <w:spacing w:line="480" w:lineRule="auto"/>
        <w:ind w:firstLine="720"/>
      </w:pPr>
      <w:r>
        <w:lastRenderedPageBreak/>
        <w:t>Real or perceived</w:t>
      </w:r>
      <w:r w:rsidR="00794A9F">
        <w:t xml:space="preserve"> perceptions of available options</w:t>
      </w:r>
      <w:r w:rsidR="00C85A1E">
        <w:t xml:space="preserve"> can </w:t>
      </w:r>
      <w:r w:rsidR="00BB5E15">
        <w:t>facilitate or hinder behavior (Nursing Theory, 2020).</w:t>
      </w:r>
      <w:r w:rsidR="009E1E9C">
        <w:t xml:space="preserve"> With an estimated</w:t>
      </w:r>
      <w:r w:rsidR="00FC636B">
        <w:t xml:space="preserve"> 6.5 million intravenous drug users in the United States (Miller-Lloyd, Landry, </w:t>
      </w:r>
      <w:proofErr w:type="spellStart"/>
      <w:r w:rsidR="00FC636B">
        <w:t>Macmadu</w:t>
      </w:r>
      <w:proofErr w:type="spellEnd"/>
      <w:r w:rsidR="00FC636B">
        <w:t xml:space="preserve">, Allard, &amp; Waxman, </w:t>
      </w:r>
      <w:r w:rsidR="00792B2B">
        <w:t>2020),</w:t>
      </w:r>
      <w:r w:rsidR="00560430">
        <w:t xml:space="preserve"> </w:t>
      </w:r>
      <w:r w:rsidR="000370C4">
        <w:t xml:space="preserve">viral transmission from sharing injection equipment is a blatant health </w:t>
      </w:r>
      <w:r w:rsidR="004B4254">
        <w:t>concern</w:t>
      </w:r>
      <w:r w:rsidR="00FF6B32">
        <w:t>.</w:t>
      </w:r>
      <w:r w:rsidR="00F82670">
        <w:t xml:space="preserve"> </w:t>
      </w:r>
      <w:r w:rsidR="002D3EB0">
        <w:t>Pender</w:t>
      </w:r>
      <w:r w:rsidR="00BA3500">
        <w:t>’</w:t>
      </w:r>
      <w:r w:rsidR="002D3EB0">
        <w:t>s Health Promotion Model will guide this study</w:t>
      </w:r>
      <w:r w:rsidR="00174B42">
        <w:t xml:space="preserve"> with NSEs as </w:t>
      </w:r>
      <w:r w:rsidR="00C045C8">
        <w:t xml:space="preserve">it is expected the intervention will </w:t>
      </w:r>
      <w:r w:rsidR="00174B42">
        <w:t>change patient outcomes (Gray, Groves, &amp; Sutherland, 2017).</w:t>
      </w:r>
      <w:r w:rsidR="0048265C">
        <w:t xml:space="preserve"> </w:t>
      </w:r>
    </w:p>
    <w:p w14:paraId="1AB55E47" w14:textId="77777777" w:rsidR="000A69F8" w:rsidRPr="00B211AE" w:rsidRDefault="000A69F8" w:rsidP="000A69F8">
      <w:pPr>
        <w:spacing w:line="480" w:lineRule="auto"/>
        <w:rPr>
          <w:b/>
          <w:bCs/>
        </w:rPr>
      </w:pPr>
      <w:bookmarkStart w:id="0" w:name="_Hlk92908043"/>
      <w:r w:rsidRPr="00F83A2C">
        <w:rPr>
          <w:b/>
          <w:bCs/>
        </w:rPr>
        <w:t>Literature Review</w:t>
      </w:r>
    </w:p>
    <w:p w14:paraId="3AEE874F" w14:textId="77777777" w:rsidR="000A69F8" w:rsidRPr="00B211AE" w:rsidRDefault="000A69F8" w:rsidP="000A69F8">
      <w:pPr>
        <w:spacing w:line="480" w:lineRule="auto"/>
        <w:ind w:firstLine="720"/>
      </w:pPr>
      <w:r w:rsidRPr="00B211AE">
        <w:tab/>
        <w:t>Various reasons, such as lack of willing participants and ethical dilemmas, restrict the amount of literature available on this topic. In his 2001 study, Pollack exclaims that very few long-term studies are available, and much of the existing research focuses on preventing HIV/AIDS transmission. Though this study searches for the effectiveness of NSEs in the prevention of blood-borne pathogen transmission, specifically HIV, HBV, and HCV, minimal current peer-reviewed studies are available.</w:t>
      </w:r>
    </w:p>
    <w:p w14:paraId="6BC9C068" w14:textId="1CB9E885" w:rsidR="000A69F8" w:rsidRPr="00B211AE" w:rsidRDefault="000A69F8" w:rsidP="000A69F8">
      <w:pPr>
        <w:spacing w:line="480" w:lineRule="auto"/>
      </w:pPr>
      <w:r w:rsidRPr="00B211AE">
        <w:tab/>
        <w:t>The intravenous drug use epidemic has been ongoing for decades, yet social stigmas hinder</w:t>
      </w:r>
      <w:r>
        <w:t xml:space="preserve"> the</w:t>
      </w:r>
      <w:r w:rsidRPr="00B211AE">
        <w:t xml:space="preserve"> </w:t>
      </w:r>
      <w:r>
        <w:t>acceptance of research studies</w:t>
      </w:r>
      <w:r w:rsidRPr="00B211AE">
        <w:t xml:space="preserve">. </w:t>
      </w:r>
      <w:r w:rsidR="00C045C8">
        <w:t>R</w:t>
      </w:r>
      <w:r w:rsidRPr="00B211AE">
        <w:t>esearch studies and papers generally allow literature post-dating ten years (Gray et al., 2017). However, due to a scarcity of relevant recent articles, this study pulls literature post-dating 20 years. The shortage of available articles leads to a small literature review. This study utilizes 12 peer-reviewed research studies with publication dates between 2001</w:t>
      </w:r>
      <w:r w:rsidR="00BA3500">
        <w:t xml:space="preserve">and </w:t>
      </w:r>
      <w:r w:rsidRPr="00B211AE">
        <w:t>2020.</w:t>
      </w:r>
    </w:p>
    <w:p w14:paraId="35E74666" w14:textId="1108E6E2" w:rsidR="000A69F8" w:rsidRDefault="000A69F8" w:rsidP="000A69F8">
      <w:pPr>
        <w:spacing w:line="480" w:lineRule="auto"/>
        <w:ind w:firstLine="720"/>
      </w:pPr>
      <w:r w:rsidRPr="00B211AE">
        <w:t>Databases are a reliable way to comb through various resources efficiently (Gray et al., 2017). This study utilized CINAHL, Google Scholar, PubMed, and Cochrane Library</w:t>
      </w:r>
      <w:r w:rsidR="00C045C8">
        <w:t>.</w:t>
      </w:r>
      <w:r w:rsidRPr="00B211AE">
        <w:t xml:space="preserve"> CINAHL and Google Scholar provided the most relevant search results. Keywords included injection drug </w:t>
      </w:r>
      <w:r w:rsidRPr="00B211AE">
        <w:lastRenderedPageBreak/>
        <w:t xml:space="preserve">use, needle sharing, syringe and needle exchange, human immunodeficiency virus, acute illness/disease, chronic illness/disease, and efficacy. </w:t>
      </w:r>
    </w:p>
    <w:p w14:paraId="04849133" w14:textId="64E05669" w:rsidR="000A69F8" w:rsidRPr="00B211AE" w:rsidRDefault="000A69F8" w:rsidP="000A69F8">
      <w:pPr>
        <w:spacing w:line="480" w:lineRule="auto"/>
        <w:ind w:firstLine="720"/>
      </w:pPr>
      <w:r w:rsidRPr="00B211AE">
        <w:t>Multiple studies using systematic reviews and meta-analysis (</w:t>
      </w:r>
      <w:proofErr w:type="spellStart"/>
      <w:r w:rsidRPr="00B211AE">
        <w:t>Sawangjit</w:t>
      </w:r>
      <w:proofErr w:type="spellEnd"/>
      <w:r w:rsidRPr="00B211AE">
        <w:t xml:space="preserve"> et al., 2016), simulation modeling studies (</w:t>
      </w:r>
      <w:proofErr w:type="spellStart"/>
      <w:r w:rsidRPr="00B211AE">
        <w:t>Bayoumi</w:t>
      </w:r>
      <w:proofErr w:type="spellEnd"/>
      <w:r w:rsidRPr="00B211AE">
        <w:t xml:space="preserve"> &amp; </w:t>
      </w:r>
      <w:proofErr w:type="spellStart"/>
      <w:r w:rsidRPr="00B211AE">
        <w:t>Zaric</w:t>
      </w:r>
      <w:proofErr w:type="spellEnd"/>
      <w:r w:rsidRPr="00B211AE">
        <w:t xml:space="preserve">, 2008; </w:t>
      </w:r>
      <w:proofErr w:type="spellStart"/>
      <w:r w:rsidRPr="00B211AE">
        <w:t>Goedel</w:t>
      </w:r>
      <w:proofErr w:type="spellEnd"/>
      <w:r w:rsidRPr="00B211AE">
        <w:t xml:space="preserve"> et al., 2020), and surveys (Burt &amp; </w:t>
      </w:r>
      <w:proofErr w:type="spellStart"/>
      <w:r w:rsidRPr="00B211AE">
        <w:t>Thiede</w:t>
      </w:r>
      <w:proofErr w:type="spellEnd"/>
      <w:r w:rsidRPr="00B211AE">
        <w:t>, 2016) indicate a likely positive correlation between NSE access and a reduction in HIV, HBV, and HCV transmission among PWID.</w:t>
      </w:r>
      <w:r>
        <w:t xml:space="preserve"> In addition, another</w:t>
      </w:r>
      <w:r w:rsidRPr="00B211AE">
        <w:t xml:space="preserve"> study by </w:t>
      </w:r>
      <w:proofErr w:type="spellStart"/>
      <w:r w:rsidRPr="00B211AE">
        <w:t>Neaigus</w:t>
      </w:r>
      <w:proofErr w:type="spellEnd"/>
      <w:r w:rsidRPr="00B211AE">
        <w:t xml:space="preserve"> et al. </w:t>
      </w:r>
      <w:r>
        <w:t xml:space="preserve">(2008) </w:t>
      </w:r>
      <w:r w:rsidRPr="00B211AE">
        <w:t>compared the parenteral risk of HIV, HBV, and HCV transmission in two cities: Newark, NJ, where NSEs are illegal, and New York City, NY, where legal NSEs are present.</w:t>
      </w:r>
      <w:r w:rsidR="00584F76">
        <w:t xml:space="preserve"> Finally, the Academy for Educational Development (2020), with funding from the Centers for Disease Control and Prevention, addresses policy efforts to increase access to sterile syringes in tandem with syringe exchange programs. </w:t>
      </w:r>
    </w:p>
    <w:p w14:paraId="7FD56039" w14:textId="6F3F5A18" w:rsidR="00F83A2C" w:rsidRDefault="000A69F8" w:rsidP="00C045C8">
      <w:pPr>
        <w:spacing w:line="480" w:lineRule="auto"/>
        <w:ind w:firstLine="720"/>
      </w:pPr>
      <w:r w:rsidRPr="00B211AE">
        <w:t xml:space="preserve">Instead of public health benefits, </w:t>
      </w:r>
      <w:r>
        <w:t xml:space="preserve">the </w:t>
      </w:r>
      <w:r w:rsidRPr="00B211AE">
        <w:t>cost-effectiveness of NSEs is one common theme detected in the literature review.</w:t>
      </w:r>
      <w:r w:rsidR="00F83A2C">
        <w:t xml:space="preserve"> Secondly, NSEs are an integral part of successfully preventing the transmission of HIV, HBV, and HCV between PWID (</w:t>
      </w:r>
      <w:proofErr w:type="spellStart"/>
      <w:r w:rsidR="00F83A2C">
        <w:t>Geodel</w:t>
      </w:r>
      <w:proofErr w:type="spellEnd"/>
      <w:r w:rsidR="00F83A2C">
        <w:t xml:space="preserve"> et al., 2020 &amp; Pollack, 2001).</w:t>
      </w:r>
      <w:r w:rsidR="00584F76">
        <w:t xml:space="preserve"> More recent literature discusses advantages associated with NSEs, such as increasing primary and secondary prevention, decreasing sequelae related to acute infections, and increasing access to substance abuse treatment and rehabilitation programs (</w:t>
      </w:r>
      <w:r w:rsidR="00584F76" w:rsidRPr="00AD44C0">
        <w:t>Academy for Educational Development</w:t>
      </w:r>
      <w:r w:rsidR="00AD44C0" w:rsidRPr="00AD44C0">
        <w:t xml:space="preserve"> et al.</w:t>
      </w:r>
      <w:r w:rsidR="00584F76" w:rsidRPr="00AD44C0">
        <w:t>, 2000</w:t>
      </w:r>
      <w:r w:rsidR="00AD44C0" w:rsidRPr="00AD44C0">
        <w:t>;</w:t>
      </w:r>
      <w:r w:rsidR="00584F76" w:rsidRPr="00AD44C0">
        <w:t xml:space="preserve"> &amp; Centers for Disease Control and Prevention, 2020).</w:t>
      </w:r>
      <w:r w:rsidR="00584F76">
        <w:t xml:space="preserve"> </w:t>
      </w:r>
      <w:r w:rsidRPr="00B211AE">
        <w:t xml:space="preserve">Additionally, many models and surveys are readily available regarding the health benefits of NSEs, yet quantitative studies with population samples are elusive in database searches. </w:t>
      </w:r>
      <w:r w:rsidR="00584F76">
        <w:t>E</w:t>
      </w:r>
      <w:r w:rsidRPr="00B211AE">
        <w:t>ven in quantitative studies focused on viral transmission reduction with NSE implementation, underlying cost-effectiveness and social acceptance themes are malignantly apparent.</w:t>
      </w:r>
      <w:bookmarkEnd w:id="0"/>
    </w:p>
    <w:p w14:paraId="36AF9375" w14:textId="77777777" w:rsidR="005A0CE3" w:rsidRDefault="005A0CE3" w:rsidP="0065213B">
      <w:pPr>
        <w:spacing w:line="480" w:lineRule="auto"/>
        <w:rPr>
          <w:b/>
          <w:bCs/>
        </w:rPr>
      </w:pPr>
    </w:p>
    <w:p w14:paraId="13905A12" w14:textId="0E2EDBB6" w:rsidR="007C7D89" w:rsidRDefault="003A5328" w:rsidP="0065213B">
      <w:pPr>
        <w:spacing w:line="480" w:lineRule="auto"/>
        <w:rPr>
          <w:b/>
          <w:bCs/>
        </w:rPr>
      </w:pPr>
      <w:r>
        <w:rPr>
          <w:b/>
          <w:bCs/>
        </w:rPr>
        <w:lastRenderedPageBreak/>
        <w:t>Action Plan and Implementation</w:t>
      </w:r>
    </w:p>
    <w:p w14:paraId="4F6BD7D0" w14:textId="73E64640" w:rsidR="003E3804" w:rsidRDefault="000B02E9" w:rsidP="007C7D89">
      <w:pPr>
        <w:spacing w:line="480" w:lineRule="auto"/>
      </w:pPr>
      <w:r>
        <w:tab/>
      </w:r>
      <w:r w:rsidR="00FD5C56">
        <w:t xml:space="preserve">According to Gray et al. (2017), </w:t>
      </w:r>
      <w:r w:rsidR="00235469">
        <w:t>healthcare studies</w:t>
      </w:r>
      <w:r w:rsidR="000F6981">
        <w:t xml:space="preserve"> frequently use convenience sampling</w:t>
      </w:r>
      <w:r w:rsidR="00235469">
        <w:t xml:space="preserve"> to obtain their sample because of difficulty recruiting subjects. </w:t>
      </w:r>
      <w:r w:rsidR="00764223">
        <w:t xml:space="preserve">This study will use nonprobability convenience sampling with additional snowball sampling due to an </w:t>
      </w:r>
      <w:r w:rsidR="00422393">
        <w:t>anticipated</w:t>
      </w:r>
      <w:r w:rsidR="00764223">
        <w:t xml:space="preserve"> limited number of </w:t>
      </w:r>
      <w:r w:rsidR="005A36A7">
        <w:t>willing participants</w:t>
      </w:r>
      <w:r w:rsidR="00C9658B">
        <w:t>.</w:t>
      </w:r>
      <w:r w:rsidR="005A36A7">
        <w:t xml:space="preserve"> </w:t>
      </w:r>
      <w:proofErr w:type="gramStart"/>
      <w:r w:rsidR="00265779">
        <w:t>Similar to</w:t>
      </w:r>
      <w:proofErr w:type="gramEnd"/>
      <w:r w:rsidR="00585A56">
        <w:t xml:space="preserve"> a study by </w:t>
      </w:r>
      <w:proofErr w:type="spellStart"/>
      <w:r w:rsidR="00585A56">
        <w:t>Neaigus</w:t>
      </w:r>
      <w:proofErr w:type="spellEnd"/>
      <w:r w:rsidR="00B81090">
        <w:t xml:space="preserve"> et al.</w:t>
      </w:r>
      <w:r w:rsidR="00A26A64">
        <w:t xml:space="preserve"> (2008), </w:t>
      </w:r>
      <w:r w:rsidR="00731E56">
        <w:t xml:space="preserve">targeted street outreach and </w:t>
      </w:r>
      <w:r w:rsidR="00C149E2">
        <w:t>social</w:t>
      </w:r>
      <w:r w:rsidR="000C1412">
        <w:t xml:space="preserve"> referral methods will be used to recruit PWID meeting inclusion criteria.</w:t>
      </w:r>
      <w:r w:rsidR="009D5DF8">
        <w:t xml:space="preserve"> It is reasonable to offer a small incentive</w:t>
      </w:r>
      <w:r w:rsidR="006420C7">
        <w:t>, such as a monetary gift,</w:t>
      </w:r>
      <w:r w:rsidR="009D5DF8">
        <w:t xml:space="preserve"> to subjects who successfully recruit</w:t>
      </w:r>
      <w:r w:rsidR="003B26C1">
        <w:t xml:space="preserve"> qualifying participants.</w:t>
      </w:r>
      <w:r w:rsidR="000A69F8">
        <w:t xml:space="preserve"> </w:t>
      </w:r>
      <w:r w:rsidR="0042052D">
        <w:t xml:space="preserve">Researchers will employ identical recruitment </w:t>
      </w:r>
      <w:r w:rsidR="00A104E3">
        <w:t xml:space="preserve">methods in both participating locations. </w:t>
      </w:r>
    </w:p>
    <w:p w14:paraId="10F2B039" w14:textId="73048950" w:rsidR="00A23F26" w:rsidRDefault="003E3804" w:rsidP="007C7D89">
      <w:pPr>
        <w:spacing w:line="480" w:lineRule="auto"/>
      </w:pPr>
      <w:r>
        <w:tab/>
      </w:r>
      <w:r w:rsidR="00CE6944">
        <w:t>This study will include no less than 60 participants b</w:t>
      </w:r>
      <w:r w:rsidR="00BD1A69">
        <w:t xml:space="preserve">ecause </w:t>
      </w:r>
      <w:r w:rsidR="00BA3500">
        <w:t>“</w:t>
      </w:r>
      <w:r w:rsidR="00BD1A69">
        <w:t xml:space="preserve">statisticians consider 30 subjects </w:t>
      </w:r>
      <w:r w:rsidR="00727E6D">
        <w:t>the minimum number for data on a single variable to approach a normal distribution</w:t>
      </w:r>
      <w:r w:rsidR="00BA3500">
        <w:t>”</w:t>
      </w:r>
      <w:r w:rsidR="00E70793">
        <w:t xml:space="preserve"> (Gray et al., 2017, p. 347)</w:t>
      </w:r>
      <w:r w:rsidR="00D75E61">
        <w:t xml:space="preserve">. </w:t>
      </w:r>
      <w:r w:rsidR="001E0E44">
        <w:t xml:space="preserve">A sample of this size would </w:t>
      </w:r>
      <w:r w:rsidR="00421141">
        <w:t>evaluate</w:t>
      </w:r>
      <w:r w:rsidR="001E0E44">
        <w:t xml:space="preserve"> the </w:t>
      </w:r>
      <w:r w:rsidR="00E06598">
        <w:t>minimum number of participants</w:t>
      </w:r>
      <w:r w:rsidR="009258FD">
        <w:t xml:space="preserve"> in each group (</w:t>
      </w:r>
      <w:r w:rsidR="006E4064">
        <w:t>NSE access</w:t>
      </w:r>
      <w:r w:rsidR="009258FD">
        <w:t xml:space="preserve"> versus no </w:t>
      </w:r>
      <w:r w:rsidR="006E4064">
        <w:t>NSE access</w:t>
      </w:r>
      <w:r w:rsidR="009258FD">
        <w:t>).</w:t>
      </w:r>
      <w:r w:rsidR="00421141">
        <w:t xml:space="preserve"> Gray et al</w:t>
      </w:r>
      <w:r w:rsidR="001A06F2">
        <w:t xml:space="preserve">. (2017) support this number </w:t>
      </w:r>
      <w:r w:rsidR="00CA285C">
        <w:t>when there is</w:t>
      </w:r>
      <w:r w:rsidR="001A06F2">
        <w:t xml:space="preserve"> </w:t>
      </w:r>
      <w:r w:rsidR="000B766D">
        <w:t xml:space="preserve">a </w:t>
      </w:r>
      <w:r w:rsidR="001A06F2">
        <w:t>lack of information to perform a power analysis.</w:t>
      </w:r>
    </w:p>
    <w:p w14:paraId="45B1F74C" w14:textId="77777777" w:rsidR="005A0CE3" w:rsidRDefault="00A23F26" w:rsidP="007C7D89">
      <w:pPr>
        <w:spacing w:line="480" w:lineRule="auto"/>
      </w:pPr>
      <w:r>
        <w:tab/>
      </w:r>
      <w:r w:rsidR="00E24901">
        <w:t>Eligible participants will be 18 years of age or older</w:t>
      </w:r>
      <w:r w:rsidR="00595924">
        <w:t xml:space="preserve"> and</w:t>
      </w:r>
      <w:r w:rsidR="00E676AA">
        <w:t xml:space="preserve"> of adequate mental capacity to provide informed consent</w:t>
      </w:r>
      <w:r w:rsidR="00595924">
        <w:t>. They must also</w:t>
      </w:r>
      <w:r w:rsidR="00AB5ED7">
        <w:t xml:space="preserve"> understand</w:t>
      </w:r>
      <w:r w:rsidR="005B5DF7">
        <w:t xml:space="preserve"> the</w:t>
      </w:r>
      <w:r w:rsidR="00A50F4B">
        <w:t xml:space="preserve"> spoken</w:t>
      </w:r>
      <w:r w:rsidR="005B5DF7">
        <w:t xml:space="preserve"> English language</w:t>
      </w:r>
      <w:r w:rsidR="00595924">
        <w:t>.</w:t>
      </w:r>
      <w:r w:rsidR="005B5DF7">
        <w:t xml:space="preserve"> Participants must have injected drugs intravenously within the last 30 days</w:t>
      </w:r>
      <w:r w:rsidR="00253B0D">
        <w:t>, which will be verified via urine drug analysis</w:t>
      </w:r>
      <w:r w:rsidR="00CA6C72">
        <w:t>.</w:t>
      </w:r>
      <w:r w:rsidR="00413EB4">
        <w:t xml:space="preserve"> Drawing from a study by </w:t>
      </w:r>
      <w:proofErr w:type="spellStart"/>
      <w:r w:rsidR="00413EB4">
        <w:t>Neaigus</w:t>
      </w:r>
      <w:proofErr w:type="spellEnd"/>
      <w:r w:rsidR="00413EB4">
        <w:t xml:space="preserve"> et al.</w:t>
      </w:r>
      <w:r w:rsidR="00B53F40">
        <w:t xml:space="preserve"> (2008), </w:t>
      </w:r>
      <w:r w:rsidR="009038D6">
        <w:t xml:space="preserve">an </w:t>
      </w:r>
      <w:r w:rsidR="00B53F40">
        <w:t>inspection of participants</w:t>
      </w:r>
      <w:r w:rsidR="00BA3500">
        <w:t>’</w:t>
      </w:r>
      <w:r w:rsidR="00B53F40">
        <w:t xml:space="preserve"> skin will</w:t>
      </w:r>
      <w:r w:rsidR="009038D6">
        <w:t xml:space="preserve"> confirm recent injecting</w:t>
      </w:r>
      <w:r w:rsidR="00ED3DA5">
        <w:t xml:space="preserve">. </w:t>
      </w:r>
      <w:r w:rsidR="002C4D94">
        <w:t>Participants must actively reside in</w:t>
      </w:r>
      <w:r w:rsidR="008420F6">
        <w:t xml:space="preserve"> or within access</w:t>
      </w:r>
      <w:r w:rsidR="0065213B">
        <w:t xml:space="preserve"> to</w:t>
      </w:r>
      <w:r w:rsidR="002C4D94">
        <w:t xml:space="preserve"> the</w:t>
      </w:r>
      <w:r w:rsidR="002917E5">
        <w:t xml:space="preserve"> </w:t>
      </w:r>
      <w:r w:rsidR="007F3117">
        <w:t>determined locations of the study.</w:t>
      </w:r>
      <w:r w:rsidR="002C4D94">
        <w:t xml:space="preserve"> </w:t>
      </w:r>
      <w:r w:rsidR="00945FF2">
        <w:t>A k</w:t>
      </w:r>
      <w:r w:rsidR="00ED3DA5">
        <w:t>nown current infection of HIV, HBV, or HCV will be ex</w:t>
      </w:r>
      <w:r w:rsidR="00945FF2">
        <w:t>clusion criteria.</w:t>
      </w:r>
      <w:r w:rsidR="00B53F40">
        <w:t xml:space="preserve"> </w:t>
      </w:r>
      <w:r w:rsidR="00EB1600">
        <w:t xml:space="preserve">Ethnicity, education level, </w:t>
      </w:r>
      <w:r w:rsidR="00EC219D">
        <w:t xml:space="preserve">socioeconomic status, and sexual history are extraneous variables </w:t>
      </w:r>
      <w:r w:rsidR="006E4064">
        <w:t>not considered in this study.</w:t>
      </w:r>
    </w:p>
    <w:p w14:paraId="20C9CC14" w14:textId="1DD313F9" w:rsidR="002A4B70" w:rsidRDefault="002A4B70" w:rsidP="005A0CE3">
      <w:pPr>
        <w:spacing w:line="480" w:lineRule="auto"/>
        <w:ind w:firstLine="720"/>
      </w:pPr>
      <w:r>
        <w:lastRenderedPageBreak/>
        <w:t xml:space="preserve">The </w:t>
      </w:r>
      <w:r w:rsidRPr="00BD4F6D">
        <w:t>Health Resources and Services Administration</w:t>
      </w:r>
      <w:r>
        <w:t xml:space="preserve"> (2016)</w:t>
      </w:r>
      <w:r w:rsidRPr="00BD4F6D">
        <w:t xml:space="preserve">, </w:t>
      </w:r>
      <w:r>
        <w:t>CDC (2016b)</w:t>
      </w:r>
      <w:r w:rsidRPr="00BD4F6D">
        <w:t xml:space="preserve">, </w:t>
      </w:r>
      <w:r>
        <w:t xml:space="preserve">and the </w:t>
      </w:r>
      <w:r w:rsidRPr="00BD4F6D">
        <w:t>Department of Health and Human Services</w:t>
      </w:r>
      <w:r>
        <w:t xml:space="preserve"> (2016) all provide published NSE implementation guidance available through the CDC website. The Consolidated Appropriations Act (Department of Health and Human Services, 2016) modified the restriction on federal funds for NSEs. Although the provision still prohibits the purchase of sterile needles or syringes to inject illicit drugs, funds may be used for other aspects of the NSE, such as personnel and preventative services.  </w:t>
      </w:r>
      <w:r w:rsidRPr="00BD4F6D">
        <w:t xml:space="preserve">  </w:t>
      </w:r>
    </w:p>
    <w:p w14:paraId="038B6C75" w14:textId="62B5C6E1" w:rsidR="007C7D89" w:rsidRDefault="007C7D89" w:rsidP="007C7D89">
      <w:pPr>
        <w:spacing w:line="480" w:lineRule="auto"/>
        <w:rPr>
          <w:b/>
          <w:bCs/>
        </w:rPr>
      </w:pPr>
      <w:r w:rsidRPr="00E11273">
        <w:rPr>
          <w:b/>
          <w:bCs/>
        </w:rPr>
        <w:t>Proposed Location</w:t>
      </w:r>
    </w:p>
    <w:p w14:paraId="729B9095" w14:textId="751535DD" w:rsidR="00932422" w:rsidRDefault="00ED4F15" w:rsidP="007C7D89">
      <w:pPr>
        <w:spacing w:line="480" w:lineRule="auto"/>
      </w:pPr>
      <w:r>
        <w:tab/>
      </w:r>
      <w:r w:rsidR="00DF225C">
        <w:t xml:space="preserve">The selected cities for this study, </w:t>
      </w:r>
      <w:r w:rsidR="00761E4C">
        <w:t>Memphis</w:t>
      </w:r>
      <w:r w:rsidR="00DF225C">
        <w:t xml:space="preserve">, TN, and </w:t>
      </w:r>
      <w:r w:rsidR="00761E4C">
        <w:t>Birmingham</w:t>
      </w:r>
      <w:r w:rsidR="00810CF2">
        <w:t>,</w:t>
      </w:r>
      <w:r w:rsidR="00761E4C">
        <w:t xml:space="preserve"> AL,</w:t>
      </w:r>
      <w:r w:rsidR="00DF225C">
        <w:t xml:space="preserve"> </w:t>
      </w:r>
      <w:r w:rsidR="00B843CB">
        <w:t xml:space="preserve">are similar in population size, </w:t>
      </w:r>
      <w:r w:rsidR="00810CF2">
        <w:t>median income, and median population age (</w:t>
      </w:r>
      <w:proofErr w:type="spellStart"/>
      <w:r w:rsidR="00810CF2">
        <w:t>Best</w:t>
      </w:r>
      <w:r w:rsidR="00511E6F">
        <w:t>Places</w:t>
      </w:r>
      <w:proofErr w:type="spellEnd"/>
      <w:r w:rsidR="00511E6F">
        <w:t>, 202</w:t>
      </w:r>
      <w:r w:rsidR="00761E4C">
        <w:t>2</w:t>
      </w:r>
      <w:r w:rsidR="00511E6F">
        <w:t>).</w:t>
      </w:r>
      <w:r w:rsidR="006B6AB8">
        <w:t xml:space="preserve"> According to the North American Syringe Exchange</w:t>
      </w:r>
      <w:r w:rsidR="005601DF">
        <w:t xml:space="preserve"> Network (202</w:t>
      </w:r>
      <w:r w:rsidR="00761E4C">
        <w:t>2</w:t>
      </w:r>
      <w:r w:rsidR="005601DF">
        <w:t xml:space="preserve">), </w:t>
      </w:r>
      <w:r w:rsidR="00761E4C">
        <w:t>Memphis</w:t>
      </w:r>
      <w:r w:rsidR="00E702C5">
        <w:t xml:space="preserve"> is the home to </w:t>
      </w:r>
      <w:r w:rsidR="00761E4C">
        <w:t>Safe Point</w:t>
      </w:r>
      <w:r w:rsidR="00E702C5">
        <w:t>,</w:t>
      </w:r>
      <w:r w:rsidR="00253B0D">
        <w:t xml:space="preserve"> </w:t>
      </w:r>
      <w:r w:rsidR="00761E4C">
        <w:t>part of the Memphis Area Prevention Coalition. NSEs remain illegal in the state of Alabama.</w:t>
      </w:r>
    </w:p>
    <w:p w14:paraId="295E3BBA" w14:textId="77777777" w:rsidR="005A0CE3" w:rsidRDefault="002C1CC7" w:rsidP="005A0CE3">
      <w:pPr>
        <w:spacing w:line="480" w:lineRule="auto"/>
      </w:pPr>
      <w:r>
        <w:tab/>
      </w:r>
      <w:r w:rsidR="003A70BC" w:rsidRPr="00C47FB5">
        <w:t>A</w:t>
      </w:r>
      <w:r w:rsidR="009F0A0D" w:rsidRPr="00C47FB5">
        <w:t xml:space="preserve"> </w:t>
      </w:r>
      <w:r w:rsidR="00086BA8" w:rsidRPr="00C47FB5">
        <w:t>five-mile radius extending</w:t>
      </w:r>
      <w:r w:rsidR="009F0A0D" w:rsidRPr="00C47FB5">
        <w:t xml:space="preserve"> from </w:t>
      </w:r>
      <w:r w:rsidR="00732283">
        <w:t>Safe Point</w:t>
      </w:r>
      <w:r w:rsidR="00253B0D" w:rsidRPr="00C47FB5">
        <w:t xml:space="preserve"> </w:t>
      </w:r>
      <w:r w:rsidR="009F0A0D" w:rsidRPr="00C47FB5">
        <w:t>will be the boundary</w:t>
      </w:r>
      <w:r w:rsidR="005708B4" w:rsidRPr="00C47FB5">
        <w:t xml:space="preserve"> to ensure participant access to the exchange program</w:t>
      </w:r>
      <w:r w:rsidR="008266DD">
        <w:t xml:space="preserve"> in </w:t>
      </w:r>
      <w:r w:rsidR="00732283">
        <w:t>Memphis</w:t>
      </w:r>
      <w:r w:rsidR="005708B4" w:rsidRPr="00C47FB5">
        <w:t>.</w:t>
      </w:r>
      <w:r w:rsidR="003A70BC" w:rsidRPr="00C47FB5">
        <w:t xml:space="preserve"> In </w:t>
      </w:r>
      <w:r w:rsidR="00732283">
        <w:t>Birmingham</w:t>
      </w:r>
      <w:r w:rsidR="003A70BC" w:rsidRPr="00C47FB5">
        <w:t xml:space="preserve">, social mapping will determine </w:t>
      </w:r>
      <w:r w:rsidR="00307164" w:rsidRPr="00C47FB5">
        <w:t xml:space="preserve">the </w:t>
      </w:r>
      <w:r w:rsidR="004F5D31" w:rsidRPr="00C47FB5">
        <w:t>densest population of PWID</w:t>
      </w:r>
      <w:r w:rsidR="008266DD">
        <w:t>. Once the location of the densest population of PWID is established, it will</w:t>
      </w:r>
      <w:r w:rsidR="00C47FB5" w:rsidRPr="00C47FB5">
        <w:t xml:space="preserve"> serv</w:t>
      </w:r>
      <w:r w:rsidR="008266DD">
        <w:t>e</w:t>
      </w:r>
      <w:r w:rsidR="00C47FB5" w:rsidRPr="00C47FB5">
        <w:t xml:space="preserve"> as the center for the study area</w:t>
      </w:r>
      <w:r w:rsidR="004F5D31" w:rsidRPr="00C47FB5">
        <w:t xml:space="preserve">. </w:t>
      </w:r>
      <w:r w:rsidR="008266DD">
        <w:t>A</w:t>
      </w:r>
      <w:r w:rsidR="004F5D31" w:rsidRPr="00C47FB5">
        <w:t xml:space="preserve"> radius of five miles wi</w:t>
      </w:r>
      <w:r w:rsidR="00A152CF" w:rsidRPr="00C47FB5">
        <w:t>ll</w:t>
      </w:r>
      <w:r w:rsidR="008266DD">
        <w:t xml:space="preserve"> extend from the center and</w:t>
      </w:r>
      <w:r w:rsidR="004F5D31" w:rsidRPr="00C47FB5">
        <w:t xml:space="preserve"> </w:t>
      </w:r>
      <w:r w:rsidR="00C47FB5" w:rsidRPr="00C47FB5">
        <w:t>encompass</w:t>
      </w:r>
      <w:r w:rsidR="004F5D31" w:rsidRPr="00C47FB5">
        <w:t xml:space="preserve"> the </w:t>
      </w:r>
      <w:r w:rsidR="00253B0D" w:rsidRPr="00C47FB5">
        <w:t>study area</w:t>
      </w:r>
      <w:r w:rsidR="00A152CF" w:rsidRPr="00C47FB5">
        <w:t>.</w:t>
      </w:r>
      <w:r w:rsidR="007F12EA">
        <w:t xml:space="preserve"> Although NSEs remain illegal in Alabama, Tennessee requires these sites to be located at least 2,000 feet from any school or park. This study will comply with this law in both involved locations.</w:t>
      </w:r>
      <w:r w:rsidR="00AD44C0">
        <w:t xml:space="preserve"> Furthermore, because of the illegality of NSEs in Alabama, it is vital to the study that no syringes or any other sterile instrument that a PWID could use for illicit drug injection be distributed among the population. </w:t>
      </w:r>
    </w:p>
    <w:p w14:paraId="13DB0992" w14:textId="6FABB57C" w:rsidR="00282EC0" w:rsidRDefault="00A82193" w:rsidP="005A0CE3">
      <w:pPr>
        <w:spacing w:line="480" w:lineRule="auto"/>
        <w:ind w:firstLine="720"/>
      </w:pPr>
      <w:r w:rsidRPr="00C47FB5">
        <w:lastRenderedPageBreak/>
        <w:t>The primary</w:t>
      </w:r>
      <w:r w:rsidR="005D05DC" w:rsidRPr="00C47FB5">
        <w:t xml:space="preserve"> goal in choosing locations is to mimic the environment as closely as possible</w:t>
      </w:r>
      <w:r w:rsidR="00E25C4B" w:rsidRPr="00C47FB5">
        <w:t xml:space="preserve"> to minimize extraneous variables.</w:t>
      </w:r>
      <w:r w:rsidR="00F03D74">
        <w:t xml:space="preserve"> However, with the growing conscience regarding NSE efficacy and civil benefit, few states hold fast to the illegal status of NSEs. Originally, Atlanta, GA, was determined to be most closely </w:t>
      </w:r>
      <w:proofErr w:type="gramStart"/>
      <w:r w:rsidR="00F03D74">
        <w:t>similar to</w:t>
      </w:r>
      <w:proofErr w:type="gramEnd"/>
      <w:r w:rsidR="00F03D74">
        <w:t xml:space="preserve"> Memphis and within an easily commutable distance. However, Atlanta has since opened an NSE, excluding the city as a control group (North American Syringe Exchange Network (2022).   </w:t>
      </w:r>
      <w:r w:rsidR="00BB408D">
        <w:t xml:space="preserve"> </w:t>
      </w:r>
      <w:r w:rsidR="00D96B2E">
        <w:t xml:space="preserve"> </w:t>
      </w:r>
      <w:r w:rsidR="004F5D31">
        <w:t xml:space="preserve"> </w:t>
      </w:r>
      <w:r w:rsidR="00FB62A3">
        <w:t xml:space="preserve"> </w:t>
      </w:r>
    </w:p>
    <w:p w14:paraId="6E0CE609" w14:textId="7D522DB9" w:rsidR="007C7D89" w:rsidRDefault="007C7D89" w:rsidP="007C7D89">
      <w:pPr>
        <w:spacing w:line="480" w:lineRule="auto"/>
        <w:rPr>
          <w:b/>
          <w:bCs/>
        </w:rPr>
      </w:pPr>
      <w:r>
        <w:rPr>
          <w:b/>
          <w:bCs/>
        </w:rPr>
        <w:t>Data Collection</w:t>
      </w:r>
      <w:r w:rsidR="000F55E8">
        <w:rPr>
          <w:b/>
          <w:bCs/>
        </w:rPr>
        <w:t xml:space="preserve"> &amp; Analysis</w:t>
      </w:r>
    </w:p>
    <w:p w14:paraId="02AF6C21" w14:textId="1EC45198" w:rsidR="00D30D16" w:rsidRDefault="00C01712" w:rsidP="007C7D89">
      <w:pPr>
        <w:spacing w:line="480" w:lineRule="auto"/>
      </w:pPr>
      <w:r>
        <w:tab/>
        <w:t xml:space="preserve">This </w:t>
      </w:r>
      <w:r w:rsidR="00533B52">
        <w:t xml:space="preserve">quantitative </w:t>
      </w:r>
      <w:r>
        <w:t xml:space="preserve">study </w:t>
      </w:r>
      <w:r w:rsidR="00953CD1">
        <w:t xml:space="preserve">uses a </w:t>
      </w:r>
      <w:r w:rsidR="00BA3500">
        <w:rPr>
          <w:i/>
          <w:iCs/>
        </w:rPr>
        <w:t>t</w:t>
      </w:r>
      <w:r w:rsidR="00BA3500">
        <w:t>-test to determine differences (Gray et al., 2017).</w:t>
      </w:r>
      <w:r w:rsidR="00953CD1">
        <w:t xml:space="preserve"> </w:t>
      </w:r>
      <w:r w:rsidR="00BA3500">
        <w:t>Access</w:t>
      </w:r>
      <w:r w:rsidR="00F83B08">
        <w:t xml:space="preserve"> to NSEs </w:t>
      </w:r>
      <w:r w:rsidR="00BA3500">
        <w:t>i</w:t>
      </w:r>
      <w:r w:rsidR="00F83B08">
        <w:t>s the independent va</w:t>
      </w:r>
      <w:r w:rsidR="00983E2E">
        <w:t>r</w:t>
      </w:r>
      <w:r w:rsidR="00F83B08">
        <w:t>iable</w:t>
      </w:r>
      <w:r w:rsidR="00BA3500">
        <w:t>,</w:t>
      </w:r>
      <w:r w:rsidR="00F83B08">
        <w:t xml:space="preserve"> and</w:t>
      </w:r>
      <w:r w:rsidR="00983E2E">
        <w:t xml:space="preserve"> </w:t>
      </w:r>
      <w:r w:rsidR="00BA3500">
        <w:t xml:space="preserve">the </w:t>
      </w:r>
      <w:r w:rsidR="00CB5BC7">
        <w:t xml:space="preserve">rate of </w:t>
      </w:r>
      <w:r w:rsidR="0065213B">
        <w:t>HIV, HBV, and HCV</w:t>
      </w:r>
      <w:r w:rsidR="00CB5BC7">
        <w:t xml:space="preserve"> infection </w:t>
      </w:r>
      <w:r w:rsidR="00BA3500">
        <w:t>i</w:t>
      </w:r>
      <w:r w:rsidR="00CB5BC7">
        <w:t>s the dependent variable.</w:t>
      </w:r>
      <w:r w:rsidR="007B0AC7">
        <w:t xml:space="preserve"> Experienced interviewers will conduct </w:t>
      </w:r>
      <w:r w:rsidR="00C0757A">
        <w:t>opening</w:t>
      </w:r>
      <w:r w:rsidR="00D81A6E">
        <w:t xml:space="preserve"> discussion</w:t>
      </w:r>
      <w:r w:rsidR="00C0757A">
        <w:t>s</w:t>
      </w:r>
      <w:r w:rsidR="00D81A6E">
        <w:t xml:space="preserve"> with the participants after </w:t>
      </w:r>
      <w:r w:rsidR="009B2D0B">
        <w:t>obtaining appropriate consent.</w:t>
      </w:r>
      <w:r w:rsidR="00C0757A">
        <w:t xml:space="preserve"> The primary interviews will </w:t>
      </w:r>
      <w:r w:rsidR="009F137B">
        <w:t>gather the</w:t>
      </w:r>
      <w:r w:rsidR="00D925FC">
        <w:t xml:space="preserve"> participants</w:t>
      </w:r>
      <w:r w:rsidR="00BA3500">
        <w:t>’</w:t>
      </w:r>
      <w:r w:rsidR="00E367BE">
        <w:t xml:space="preserve"> history of injection drug use, sharing needles or syringes</w:t>
      </w:r>
      <w:r w:rsidR="009F137B">
        <w:t xml:space="preserve">, reusing needles or syringes, </w:t>
      </w:r>
      <w:r w:rsidR="00DC1DF2">
        <w:t xml:space="preserve">previous blood-borne pathogen infections, knowledge of current HIV, HBV, or HCV infection, </w:t>
      </w:r>
      <w:r w:rsidR="008F219A">
        <w:t>and history of seeking drug dependence</w:t>
      </w:r>
      <w:r w:rsidR="00D925FC">
        <w:t xml:space="preserve"> treatment or counseling. </w:t>
      </w:r>
      <w:r w:rsidR="00C407E4">
        <w:t>At the beginning of the study, demographic data collected</w:t>
      </w:r>
      <w:r w:rsidR="00C67C00">
        <w:t xml:space="preserve"> are s</w:t>
      </w:r>
      <w:r w:rsidR="00793CE8">
        <w:t>ocioeconomic</w:t>
      </w:r>
      <w:r w:rsidR="00781540">
        <w:t xml:space="preserve"> and homeless</w:t>
      </w:r>
      <w:r w:rsidR="00793CE8">
        <w:t xml:space="preserve"> status, education level, age, race, </w:t>
      </w:r>
      <w:r w:rsidR="00781540">
        <w:t>and gender</w:t>
      </w:r>
      <w:r w:rsidR="00C67C00">
        <w:t>.</w:t>
      </w:r>
      <w:r w:rsidR="00781540">
        <w:t xml:space="preserve"> </w:t>
      </w:r>
      <w:r w:rsidR="001C15AB">
        <w:t xml:space="preserve">With </w:t>
      </w:r>
      <w:r w:rsidR="00030B07">
        <w:t>obtained</w:t>
      </w:r>
      <w:r w:rsidR="001C15AB">
        <w:t xml:space="preserve"> consent, </w:t>
      </w:r>
      <w:r w:rsidR="008166B5">
        <w:t>a venous blood draw</w:t>
      </w:r>
      <w:r w:rsidR="00030B07">
        <w:t xml:space="preserve"> will</w:t>
      </w:r>
      <w:r w:rsidR="008166B5">
        <w:t xml:space="preserve"> determine </w:t>
      </w:r>
      <w:r w:rsidR="006C7ED0">
        <w:t>current HIV, HBV, or HCV infection status</w:t>
      </w:r>
      <w:r w:rsidR="008166B5">
        <w:t>.</w:t>
      </w:r>
      <w:r w:rsidR="009C379E">
        <w:t xml:space="preserve"> An active infection disqualifies subjects from study participation.</w:t>
      </w:r>
      <w:r w:rsidR="000265CE">
        <w:t xml:space="preserve"> Each participant will be assigned an identification number to ensure confidentiality.</w:t>
      </w:r>
      <w:r w:rsidR="00976D90">
        <w:t xml:space="preserve"> A separate</w:t>
      </w:r>
      <w:r w:rsidR="002A20BD">
        <w:t>,</w:t>
      </w:r>
      <w:r w:rsidR="00976D90">
        <w:t xml:space="preserve"> encrypted location will house the master list of participants and thei</w:t>
      </w:r>
      <w:r w:rsidR="002B0E11">
        <w:t xml:space="preserve">r code numbers (Gray et al., 2017). </w:t>
      </w:r>
      <w:r w:rsidR="00A45A2C">
        <w:t xml:space="preserve"> </w:t>
      </w:r>
      <w:r w:rsidR="009C379E">
        <w:t xml:space="preserve"> </w:t>
      </w:r>
    </w:p>
    <w:p w14:paraId="6CC8684C" w14:textId="23922FC0" w:rsidR="00C85913" w:rsidRDefault="00D30D16" w:rsidP="007C7D89">
      <w:pPr>
        <w:spacing w:line="480" w:lineRule="auto"/>
      </w:pPr>
      <w:r>
        <w:tab/>
        <w:t xml:space="preserve">In </w:t>
      </w:r>
      <w:r w:rsidR="00732283">
        <w:t>Birmingham</w:t>
      </w:r>
      <w:r w:rsidR="007375ED">
        <w:t xml:space="preserve">, the control city, </w:t>
      </w:r>
      <w:r w:rsidR="00B6038A">
        <w:t xml:space="preserve">participants </w:t>
      </w:r>
      <w:r w:rsidR="008D35A7">
        <w:t xml:space="preserve">will </w:t>
      </w:r>
      <w:r w:rsidR="00EC7E83">
        <w:t xml:space="preserve">submit a survey and provide venous blood for laboratory analysis </w:t>
      </w:r>
      <w:r w:rsidR="001F0FE9">
        <w:t>five</w:t>
      </w:r>
      <w:r w:rsidR="00EC7E83">
        <w:t xml:space="preserve"> times over one year: </w:t>
      </w:r>
      <w:r w:rsidR="00445069">
        <w:t xml:space="preserve">once at the beginning, and then at the </w:t>
      </w:r>
      <w:r w:rsidR="00EC7E83">
        <w:t>three, six, nine,</w:t>
      </w:r>
      <w:r w:rsidR="00EA46E5">
        <w:t xml:space="preserve"> and</w:t>
      </w:r>
      <w:r w:rsidR="00EC7E83">
        <w:t xml:space="preserve"> 12-month marks.</w:t>
      </w:r>
      <w:r w:rsidR="00EA46E5">
        <w:t xml:space="preserve"> Survey questionnaire</w:t>
      </w:r>
      <w:r w:rsidR="001157EE">
        <w:t xml:space="preserve">s will be identical </w:t>
      </w:r>
      <w:r w:rsidR="00C045C8">
        <w:t>for</w:t>
      </w:r>
      <w:r w:rsidR="001157EE">
        <w:t xml:space="preserve"> each </w:t>
      </w:r>
      <w:r w:rsidR="00371F31">
        <w:t>period</w:t>
      </w:r>
      <w:r w:rsidR="00B55E6E">
        <w:t xml:space="preserve">. </w:t>
      </w:r>
      <w:r w:rsidR="0053735A">
        <w:lastRenderedPageBreak/>
        <w:t xml:space="preserve">Participants will answer questions regarding </w:t>
      </w:r>
      <w:r w:rsidR="00A21F65">
        <w:t xml:space="preserve">the frequency of injection drug use, partaking in sharing or reusing needles or syringes, </w:t>
      </w:r>
      <w:r w:rsidR="00087173">
        <w:t xml:space="preserve">seeking drug treatment or counseling, and known exposure to HIV, HBV, or HCV. </w:t>
      </w:r>
      <w:r w:rsidR="00203BD3">
        <w:t xml:space="preserve">The surveys </w:t>
      </w:r>
      <w:r w:rsidR="00030B07">
        <w:t>will be</w:t>
      </w:r>
      <w:r w:rsidR="00203BD3">
        <w:t xml:space="preserve"> written in standard English as multiple-choice questions </w:t>
      </w:r>
      <w:r w:rsidR="00B36E7A">
        <w:t>with</w:t>
      </w:r>
      <w:r w:rsidR="00203BD3">
        <w:t xml:space="preserve"> one correct answer</w:t>
      </w:r>
      <w:r w:rsidR="006853C5">
        <w:t xml:space="preserve"> per question.</w:t>
      </w:r>
      <w:r w:rsidR="00EE1460">
        <w:t xml:space="preserve"> I</w:t>
      </w:r>
      <w:r w:rsidR="00030B07">
        <w:t>n addition, i</w:t>
      </w:r>
      <w:r w:rsidR="00EE1460">
        <w:t xml:space="preserve">nterviewers will </w:t>
      </w:r>
      <w:r w:rsidR="008F7C6B">
        <w:t>provide oral surveys for illiterate participants.</w:t>
      </w:r>
      <w:r w:rsidR="00C407E4">
        <w:t xml:space="preserve"> </w:t>
      </w:r>
      <w:r w:rsidR="0055470E">
        <w:t xml:space="preserve">Laboratory analyses provide data regarding blood-borne pathogen infection. </w:t>
      </w:r>
      <w:r w:rsidR="00030B07">
        <w:t>Researchers will provide appropriate referrals if any participant develops a new HIV, HBV, or HCV infection</w:t>
      </w:r>
      <w:r w:rsidR="00210887">
        <w:t>.</w:t>
      </w:r>
    </w:p>
    <w:p w14:paraId="377AE3E3" w14:textId="59613AB6" w:rsidR="0004264F" w:rsidRDefault="0004264F" w:rsidP="007C7D89">
      <w:pPr>
        <w:spacing w:line="480" w:lineRule="auto"/>
      </w:pPr>
      <w:r>
        <w:tab/>
        <w:t xml:space="preserve">Participants in </w:t>
      </w:r>
      <w:r w:rsidR="00732283">
        <w:t>Memphis</w:t>
      </w:r>
      <w:r>
        <w:t xml:space="preserve"> will follow the same</w:t>
      </w:r>
      <w:r w:rsidR="001A59FD">
        <w:t xml:space="preserve"> timeline with identical surveys and timed venous blood samples. However, </w:t>
      </w:r>
      <w:r w:rsidR="00732283">
        <w:t>Memphis</w:t>
      </w:r>
      <w:r w:rsidR="00A94EAA">
        <w:t xml:space="preserve"> study participants will sign</w:t>
      </w:r>
      <w:r w:rsidR="00E8096E">
        <w:t xml:space="preserve"> (or verbally </w:t>
      </w:r>
      <w:r w:rsidR="00806D94">
        <w:t>consent</w:t>
      </w:r>
      <w:r w:rsidR="00E8096E">
        <w:t xml:space="preserve"> to) an agreement stating they will </w:t>
      </w:r>
      <w:r w:rsidR="00613DCC">
        <w:t>not share or reuse needles or syringes</w:t>
      </w:r>
      <w:r w:rsidR="00806D94">
        <w:t xml:space="preserve"> during the one</w:t>
      </w:r>
      <w:r w:rsidR="001102D6">
        <w:t>-</w:t>
      </w:r>
      <w:r w:rsidR="00806D94">
        <w:t>year study</w:t>
      </w:r>
      <w:r w:rsidR="00613DCC">
        <w:t xml:space="preserve">. To obtain sterile supplies for intravenous drug injection, the participants will </w:t>
      </w:r>
      <w:r w:rsidR="00D878F9">
        <w:t>explicitly use the NSE.</w:t>
      </w:r>
      <w:r w:rsidR="00030B07">
        <w:t xml:space="preserve"> Participants</w:t>
      </w:r>
      <w:r w:rsidR="00B578AA">
        <w:t xml:space="preserve"> </w:t>
      </w:r>
      <w:r w:rsidR="00A32771">
        <w:t>will be removed from the study</w:t>
      </w:r>
      <w:r w:rsidR="00030B07">
        <w:t xml:space="preserve"> should they share or reuse a syringe or needle during the one year</w:t>
      </w:r>
      <w:r w:rsidR="00A32771">
        <w:t>.</w:t>
      </w:r>
      <w:r w:rsidR="009511A8">
        <w:t xml:space="preserve"> As with the control group, </w:t>
      </w:r>
      <w:r w:rsidR="00030B07">
        <w:t>researchers will provide appropriate resources if a participant develops a new HIV, HBV, or HCV infection</w:t>
      </w:r>
      <w:r w:rsidR="009511A8">
        <w:t xml:space="preserve">. </w:t>
      </w:r>
    </w:p>
    <w:p w14:paraId="16F7A9C1" w14:textId="6D40B2D9" w:rsidR="00BA3500" w:rsidRDefault="005109CC" w:rsidP="007C7D89">
      <w:pPr>
        <w:spacing w:line="480" w:lineRule="auto"/>
      </w:pPr>
      <w:r>
        <w:tab/>
      </w:r>
      <w:r w:rsidR="00447978">
        <w:t>Researchers will develop the surveys into a scannable format</w:t>
      </w:r>
      <w:r w:rsidR="003E631A">
        <w:t xml:space="preserve"> </w:t>
      </w:r>
      <w:r w:rsidR="00447978">
        <w:t xml:space="preserve">to </w:t>
      </w:r>
      <w:r w:rsidR="00030B07">
        <w:t>collect and store data efficiently</w:t>
      </w:r>
      <w:r w:rsidR="00447978">
        <w:t>.</w:t>
      </w:r>
      <w:r w:rsidR="00727F9C">
        <w:t xml:space="preserve"> This </w:t>
      </w:r>
      <w:r w:rsidR="00923654">
        <w:t>collection method</w:t>
      </w:r>
      <w:r w:rsidR="00727F9C">
        <w:t xml:space="preserve"> </w:t>
      </w:r>
      <w:r w:rsidR="00292F3B">
        <w:t>assumes</w:t>
      </w:r>
      <w:r w:rsidR="00727F9C">
        <w:t xml:space="preserve"> </w:t>
      </w:r>
      <w:r w:rsidR="00923654">
        <w:t>most</w:t>
      </w:r>
      <w:r w:rsidR="00727F9C">
        <w:t xml:space="preserve"> participants will not readily have</w:t>
      </w:r>
      <w:r w:rsidR="00923654">
        <w:t xml:space="preserve"> internet or technology access (Gray et al., 2017).</w:t>
      </w:r>
      <w:r w:rsidR="00CD71FE">
        <w:t xml:space="preserve"> </w:t>
      </w:r>
      <w:r w:rsidR="00C62274">
        <w:t>Should a participant be illiterate, the researcher will conduct an interview and record the participant</w:t>
      </w:r>
      <w:r w:rsidR="00BA3500">
        <w:t>’</w:t>
      </w:r>
      <w:r w:rsidR="00C62274">
        <w:t xml:space="preserve">s answers </w:t>
      </w:r>
      <w:r w:rsidR="00D33B18">
        <w:t>before</w:t>
      </w:r>
      <w:r w:rsidR="00F26F06">
        <w:t xml:space="preserve"> scanning</w:t>
      </w:r>
      <w:r w:rsidR="000F55E8">
        <w:t xml:space="preserve"> the survey</w:t>
      </w:r>
      <w:r w:rsidR="00F26F06">
        <w:t>.</w:t>
      </w:r>
      <w:r w:rsidR="00DF7257">
        <w:t xml:space="preserve"> </w:t>
      </w:r>
      <w:r w:rsidR="00243A6C">
        <w:t xml:space="preserve">The researchers will label each survey </w:t>
      </w:r>
      <w:r w:rsidR="00465559">
        <w:t xml:space="preserve">and laboratory result </w:t>
      </w:r>
      <w:r w:rsidR="00243A6C">
        <w:t>with the corresponding participant</w:t>
      </w:r>
      <w:r w:rsidR="00BA3500">
        <w:t>’</w:t>
      </w:r>
      <w:r w:rsidR="00243A6C">
        <w:t>s number.</w:t>
      </w:r>
      <w:r w:rsidR="0062189F">
        <w:t xml:space="preserve"> Surveys and laboratory data will</w:t>
      </w:r>
      <w:r w:rsidR="00243A6C">
        <w:t xml:space="preserve"> </w:t>
      </w:r>
      <w:r w:rsidR="00465559">
        <w:t>be stored separately for each participant unt</w:t>
      </w:r>
      <w:r w:rsidR="009B7E20">
        <w:t>i</w:t>
      </w:r>
      <w:r w:rsidR="00465559">
        <w:t xml:space="preserve">l the end of the study. This </w:t>
      </w:r>
      <w:r w:rsidR="00437E1F">
        <w:t xml:space="preserve">separation </w:t>
      </w:r>
      <w:r w:rsidR="00465559">
        <w:t xml:space="preserve">will </w:t>
      </w:r>
      <w:r w:rsidR="00523224">
        <w:t>ensure</w:t>
      </w:r>
      <w:r w:rsidR="00F25A35">
        <w:t xml:space="preserve"> </w:t>
      </w:r>
      <w:r w:rsidR="00262C05">
        <w:t xml:space="preserve">the </w:t>
      </w:r>
      <w:r w:rsidR="00F25A35">
        <w:t>collection of</w:t>
      </w:r>
      <w:r w:rsidR="00523224">
        <w:t xml:space="preserve"> participant</w:t>
      </w:r>
      <w:r w:rsidR="00F25A35">
        <w:t xml:space="preserve"> </w:t>
      </w:r>
      <w:r w:rsidR="009B7E20">
        <w:t>data at each three-month mark.</w:t>
      </w:r>
      <w:bookmarkStart w:id="1" w:name="_Hlk92908085"/>
    </w:p>
    <w:p w14:paraId="6C70E4FC" w14:textId="58AE8F42" w:rsidR="005109CC" w:rsidRDefault="00BA3500" w:rsidP="007C7D89">
      <w:pPr>
        <w:spacing w:line="480" w:lineRule="auto"/>
      </w:pPr>
      <w:r>
        <w:lastRenderedPageBreak/>
        <w:tab/>
        <w:t xml:space="preserve">A </w:t>
      </w:r>
      <w:r>
        <w:rPr>
          <w:i/>
          <w:iCs/>
        </w:rPr>
        <w:t>t</w:t>
      </w:r>
      <w:r>
        <w:t>-test for independent samples is “the most common parametric analysis technique</w:t>
      </w:r>
      <w:bookmarkEnd w:id="1"/>
      <w:r>
        <w:t xml:space="preserve"> used… to test for significant differences between two independent samples” (Gray et al., 2017, p. 568). This study meets the criteria for independent samples because the two groups, </w:t>
      </w:r>
      <w:proofErr w:type="gramStart"/>
      <w:r>
        <w:t>Memphis</w:t>
      </w:r>
      <w:proofErr w:type="gramEnd"/>
      <w:r>
        <w:t xml:space="preserve"> and Birmingham, are unrelated. While sample groups do not have to be equal for this analysis, this small study will recruit an equal number of participants in each location.</w:t>
      </w:r>
    </w:p>
    <w:p w14:paraId="5FEA307A" w14:textId="31ECA539" w:rsidR="007C7D89" w:rsidRDefault="000F4CDA" w:rsidP="007C7D89">
      <w:pPr>
        <w:spacing w:line="480" w:lineRule="auto"/>
        <w:rPr>
          <w:b/>
          <w:bCs/>
        </w:rPr>
      </w:pPr>
      <w:r>
        <w:rPr>
          <w:b/>
          <w:bCs/>
        </w:rPr>
        <w:t>Persons and Resources Involved</w:t>
      </w:r>
    </w:p>
    <w:p w14:paraId="146E8D64" w14:textId="14F5C4BF" w:rsidR="00EB0B9E" w:rsidRDefault="00356B43" w:rsidP="007C7D89">
      <w:pPr>
        <w:spacing w:line="480" w:lineRule="auto"/>
      </w:pPr>
      <w:r>
        <w:tab/>
      </w:r>
      <w:r w:rsidR="00C15DA4">
        <w:t>While one researcher may implement a</w:t>
      </w:r>
      <w:r w:rsidR="007E4118">
        <w:t xml:space="preserve"> study as the lead investigator, </w:t>
      </w:r>
      <w:r w:rsidR="00253B0D">
        <w:t>utilizing</w:t>
      </w:r>
      <w:r w:rsidR="007E4118">
        <w:t xml:space="preserve"> a team of researchers</w:t>
      </w:r>
      <w:r w:rsidR="00253B0D">
        <w:t xml:space="preserve"> is more time-efficient</w:t>
      </w:r>
      <w:r w:rsidR="007E4118">
        <w:t xml:space="preserve"> (Gray et al., 2017). </w:t>
      </w:r>
      <w:r w:rsidR="0074376E">
        <w:t xml:space="preserve">This study </w:t>
      </w:r>
      <w:r w:rsidR="00511EC9">
        <w:t xml:space="preserve">is in </w:t>
      </w:r>
      <w:r w:rsidR="0074376E">
        <w:t xml:space="preserve">a graduate-level setting, with </w:t>
      </w:r>
      <w:r w:rsidR="00511EC9">
        <w:t>a graduate student assuming the lead investigator</w:t>
      </w:r>
      <w:r w:rsidR="00BA3500">
        <w:t>’</w:t>
      </w:r>
      <w:r w:rsidR="00511EC9">
        <w:t>s role</w:t>
      </w:r>
      <w:r w:rsidR="00283671">
        <w:t xml:space="preserve"> and peers</w:t>
      </w:r>
      <w:r w:rsidR="00B009AF">
        <w:t xml:space="preserve"> assisting in the research</w:t>
      </w:r>
      <w:r w:rsidR="00DB58E3">
        <w:t xml:space="preserve">. </w:t>
      </w:r>
      <w:r w:rsidR="00E74BBB">
        <w:t>Study</w:t>
      </w:r>
      <w:r w:rsidR="00FB2D6E">
        <w:t xml:space="preserve"> coordinators, research nurses, and </w:t>
      </w:r>
      <w:r w:rsidR="00E74BBB">
        <w:t xml:space="preserve">data managers are also </w:t>
      </w:r>
      <w:r w:rsidR="00AC7147">
        <w:t>essential</w:t>
      </w:r>
      <w:r w:rsidR="00E74BBB">
        <w:t xml:space="preserve"> member</w:t>
      </w:r>
      <w:r w:rsidR="00AC7147">
        <w:t>s</w:t>
      </w:r>
      <w:r w:rsidR="00E74BBB">
        <w:t xml:space="preserve"> of the research team (</w:t>
      </w:r>
      <w:r w:rsidR="00043D18">
        <w:t xml:space="preserve">Baer, </w:t>
      </w:r>
      <w:proofErr w:type="spellStart"/>
      <w:r w:rsidR="00043D18">
        <w:t>Zon</w:t>
      </w:r>
      <w:proofErr w:type="spellEnd"/>
      <w:r w:rsidR="00043D18">
        <w:t xml:space="preserve">, Devine, &amp; </w:t>
      </w:r>
      <w:proofErr w:type="spellStart"/>
      <w:r w:rsidR="00043D18">
        <w:t>Lyss</w:t>
      </w:r>
      <w:proofErr w:type="spellEnd"/>
      <w:r w:rsidR="00043D18">
        <w:t>, 2011).</w:t>
      </w:r>
      <w:r w:rsidR="0032308D">
        <w:t xml:space="preserve"> A key role and invaluable resource </w:t>
      </w:r>
      <w:proofErr w:type="gramStart"/>
      <w:r w:rsidR="0032308D">
        <w:t>is</w:t>
      </w:r>
      <w:proofErr w:type="gramEnd"/>
      <w:r w:rsidR="0032308D">
        <w:t xml:space="preserve"> t</w:t>
      </w:r>
      <w:r w:rsidR="00252D02">
        <w:t>he faculty overseeing the research study.</w:t>
      </w:r>
      <w:r w:rsidR="00342FBC">
        <w:t xml:space="preserve"> Other persons involved include </w:t>
      </w:r>
      <w:r w:rsidR="00472A57">
        <w:t>the Institutional Review Board, directors and employe</w:t>
      </w:r>
      <w:r w:rsidR="00E847F2">
        <w:t>e</w:t>
      </w:r>
      <w:r w:rsidR="00472A57">
        <w:t xml:space="preserve">s of research sites, and the study participants. </w:t>
      </w:r>
    </w:p>
    <w:p w14:paraId="04BBF0EB" w14:textId="3CA04E20" w:rsidR="001C0FDF" w:rsidRDefault="00EB0B9E" w:rsidP="007C7D89">
      <w:pPr>
        <w:spacing w:line="480" w:lineRule="auto"/>
      </w:pPr>
      <w:r>
        <w:tab/>
      </w:r>
      <w:r w:rsidR="00252D02">
        <w:t xml:space="preserve"> </w:t>
      </w:r>
      <w:r w:rsidR="00B009AF">
        <w:t xml:space="preserve"> </w:t>
      </w:r>
      <w:r w:rsidR="00511EC9">
        <w:t xml:space="preserve"> </w:t>
      </w:r>
      <w:r w:rsidR="00FE4E73">
        <w:t xml:space="preserve">Previous </w:t>
      </w:r>
      <w:r w:rsidR="00562A94">
        <w:t>reports</w:t>
      </w:r>
      <w:r w:rsidR="008F11F3">
        <w:t xml:space="preserve"> on the topic are valuable resource</w:t>
      </w:r>
      <w:r w:rsidR="008E392F">
        <w:t>s</w:t>
      </w:r>
      <w:r w:rsidR="008F11F3">
        <w:t xml:space="preserve"> to graduate students preparing for a research study.</w:t>
      </w:r>
      <w:r w:rsidR="00562A94">
        <w:t xml:space="preserve"> The school</w:t>
      </w:r>
      <w:r w:rsidR="00BA3500">
        <w:t>’</w:t>
      </w:r>
      <w:r w:rsidR="00562A94">
        <w:t xml:space="preserve">s librarian can </w:t>
      </w:r>
      <w:r w:rsidR="00752FA9">
        <w:t>assist the lead investigator in locating relevant information.</w:t>
      </w:r>
      <w:r w:rsidR="001C0FDF">
        <w:t xml:space="preserve"> In addition, contacts with the CDC, state legislature, and local health departments will be essential. In Tennessee, Allison </w:t>
      </w:r>
      <w:proofErr w:type="spellStart"/>
      <w:r w:rsidR="001C0FDF">
        <w:t>Wilhem</w:t>
      </w:r>
      <w:proofErr w:type="spellEnd"/>
      <w:r w:rsidR="001C0FDF">
        <w:t xml:space="preserve"> is the </w:t>
      </w:r>
      <w:r w:rsidR="001C0FDF">
        <w:rPr>
          <w:rFonts w:cs="Times New Roman"/>
          <w:color w:val="212529"/>
          <w:szCs w:val="24"/>
        </w:rPr>
        <w:t>j</w:t>
      </w:r>
      <w:r w:rsidR="001C0FDF" w:rsidRPr="001C0FDF">
        <w:rPr>
          <w:rFonts w:cs="Times New Roman"/>
          <w:color w:val="212529"/>
          <w:szCs w:val="24"/>
        </w:rPr>
        <w:t>urisdictional point of contact</w:t>
      </w:r>
      <w:r w:rsidR="001C0FDF">
        <w:t xml:space="preserve"> for </w:t>
      </w:r>
      <w:proofErr w:type="gramStart"/>
      <w:r w:rsidR="001C0FDF">
        <w:t>the  CDC</w:t>
      </w:r>
      <w:proofErr w:type="gramEnd"/>
      <w:r w:rsidR="001C0FDF">
        <w:t xml:space="preserve">, with </w:t>
      </w:r>
      <w:r w:rsidR="00732283">
        <w:t>Scott Harris</w:t>
      </w:r>
      <w:r w:rsidR="001C0FDF">
        <w:t xml:space="preserve"> serving the role in </w:t>
      </w:r>
      <w:r w:rsidR="00732283">
        <w:t>Alabama</w:t>
      </w:r>
      <w:r w:rsidR="001C0FDF">
        <w:t xml:space="preserve"> (Centers for Disease Control and Prevention, 2022). In </w:t>
      </w:r>
      <w:r w:rsidR="00732283">
        <w:t>Memphis</w:t>
      </w:r>
      <w:r w:rsidR="001C0FDF">
        <w:t xml:space="preserve">, the overseeing medical provider must agree to the proposed analysis and be fully involved during the length of the study. In </w:t>
      </w:r>
      <w:r w:rsidR="00732283">
        <w:t>Birmingham</w:t>
      </w:r>
      <w:r w:rsidR="001C0FDF">
        <w:t xml:space="preserve">, contact should be established with the mayor, the local health department, public health leaders, and an overseeing medical provider. </w:t>
      </w:r>
    </w:p>
    <w:p w14:paraId="2236CB7B" w14:textId="0245666F" w:rsidR="00BD4F6D" w:rsidRPr="00BD4F6D" w:rsidRDefault="00105C6A" w:rsidP="002A4B70">
      <w:pPr>
        <w:spacing w:line="480" w:lineRule="auto"/>
        <w:ind w:firstLine="720"/>
      </w:pPr>
      <w:r>
        <w:lastRenderedPageBreak/>
        <w:t>A budge</w:t>
      </w:r>
      <w:r w:rsidR="00EC29A9">
        <w:t>t</w:t>
      </w:r>
      <w:r w:rsidR="00F22CD1">
        <w:t xml:space="preserve"> will be necessary to track and manage expenses, including travel, room and board, </w:t>
      </w:r>
      <w:r w:rsidR="00253B0D">
        <w:t xml:space="preserve">applicable </w:t>
      </w:r>
      <w:r w:rsidR="00020B2C">
        <w:t xml:space="preserve">payroll, </w:t>
      </w:r>
      <w:r w:rsidR="00C47FB5">
        <w:t xml:space="preserve">required materials, </w:t>
      </w:r>
      <w:r w:rsidR="00020B2C">
        <w:t xml:space="preserve">and monetary compensations </w:t>
      </w:r>
      <w:r w:rsidR="00A44654">
        <w:t>to subjects.</w:t>
      </w:r>
      <w:r w:rsidR="00C47FB5">
        <w:t xml:space="preserve"> Required materials include, but are not limited to, scannable forms, scan machines for data collection</w:t>
      </w:r>
      <w:r w:rsidR="000A69F8">
        <w:t>, sterile needles and syringes for exchange, sharps boxes, gloves, hand sanitizer, soap and handwashing areas, equipment for needle-stick exposure, first-aid gear</w:t>
      </w:r>
      <w:r w:rsidR="00C47FB5" w:rsidRPr="000A69F8">
        <w:t>,</w:t>
      </w:r>
      <w:r w:rsidR="000A69F8" w:rsidRPr="000A69F8">
        <w:t xml:space="preserve"> transportation to NSEs, and food and lodging for researchers and assistants.</w:t>
      </w:r>
      <w:r w:rsidR="00E70FE8">
        <w:t xml:space="preserve"> Other expenses include biohazard removal, testing kits for HIV and viral hepatitis, naloxone nasal spray, navigation and storage services for testing results, educational materials, male and female condoms, and communication and outreach programs.</w:t>
      </w:r>
      <w:r w:rsidR="000A69F8" w:rsidRPr="000A69F8">
        <w:t xml:space="preserve"> T</w:t>
      </w:r>
      <w:r w:rsidR="00A44654" w:rsidRPr="000A69F8">
        <w:t>he</w:t>
      </w:r>
      <w:r w:rsidR="00A44654">
        <w:t xml:space="preserve"> team will</w:t>
      </w:r>
      <w:r w:rsidR="00E70693">
        <w:t xml:space="preserve"> also</w:t>
      </w:r>
      <w:r w:rsidR="00A44654">
        <w:t xml:space="preserve"> need access to software and technology to collect, store, and secure data</w:t>
      </w:r>
      <w:r w:rsidR="0034286E">
        <w:t xml:space="preserve"> while ensuring subject confidentiality.</w:t>
      </w:r>
      <w:r w:rsidR="00E70FE8">
        <w:t xml:space="preserve"> Lastly, the budget will account for staff training, basic life support classes, naloxone administration training, and emergency protocol preparation and training.</w:t>
      </w:r>
      <w:r w:rsidR="00BD4F6D">
        <w:rPr>
          <w:b/>
          <w:bCs/>
        </w:rPr>
        <w:tab/>
      </w:r>
      <w:r w:rsidR="00BD4F6D" w:rsidRPr="00BD4F6D">
        <w:t xml:space="preserve"> </w:t>
      </w:r>
    </w:p>
    <w:p w14:paraId="63AB7DCB" w14:textId="53DEA918" w:rsidR="00BB3719" w:rsidRDefault="00BB3719" w:rsidP="007C7D89">
      <w:pPr>
        <w:spacing w:line="480" w:lineRule="auto"/>
        <w:rPr>
          <w:b/>
          <w:bCs/>
        </w:rPr>
      </w:pPr>
      <w:r w:rsidRPr="00B00BE6">
        <w:rPr>
          <w:b/>
          <w:bCs/>
        </w:rPr>
        <w:t>Evaluation and Sustainability</w:t>
      </w:r>
    </w:p>
    <w:p w14:paraId="2009DAC8" w14:textId="569703FA" w:rsidR="007A1CBE" w:rsidRDefault="007A1CBE" w:rsidP="007C7D89">
      <w:pPr>
        <w:spacing w:line="480" w:lineRule="auto"/>
      </w:pPr>
      <w:r>
        <w:rPr>
          <w:b/>
          <w:bCs/>
        </w:rPr>
        <w:tab/>
      </w:r>
      <w:r>
        <w:t xml:space="preserve">Evaluation will be performed and documented at three, six, nine, and twelve months. Monthly budget meetings will be completed to monitor spending, discuss financial plans, and record </w:t>
      </w:r>
      <w:r w:rsidR="00BA3500">
        <w:t xml:space="preserve">the </w:t>
      </w:r>
      <w:r>
        <w:t xml:space="preserve">evidence needed for grant applications. In Alabama, grants will be </w:t>
      </w:r>
      <w:r w:rsidR="00BA3500">
        <w:t>addressed at</w:t>
      </w:r>
      <w:r>
        <w:t xml:space="preserve"> the state, county, and city levels since NSE</w:t>
      </w:r>
      <w:r w:rsidR="00BA3500">
        <w:t>-</w:t>
      </w:r>
      <w:r>
        <w:t xml:space="preserve">specific funding will not be available through the CDC. In Tennessee, </w:t>
      </w:r>
      <w:r w:rsidR="005358F2">
        <w:t>the state already receives funding through the CDC for NSE operation</w:t>
      </w:r>
      <w:r w:rsidR="00BA3500">
        <w:t>s</w:t>
      </w:r>
      <w:r w:rsidR="00B00BE6">
        <w:t xml:space="preserve"> (Centers for Disease Control and Prevention, 2020)</w:t>
      </w:r>
      <w:r w:rsidR="005358F2">
        <w:t>. The researche</w:t>
      </w:r>
      <w:r w:rsidR="00BA3500">
        <w:t>r</w:t>
      </w:r>
      <w:r w:rsidR="005358F2">
        <w:t xml:space="preserve">s will provide complete transparency with the city, county, and state. All data will be available for submission to the CDC for further grant applications and funding requests. </w:t>
      </w:r>
    </w:p>
    <w:p w14:paraId="6EBE6226" w14:textId="2A1ED2A9" w:rsidR="00761E4C" w:rsidRPr="005A0CE3" w:rsidRDefault="00B66869" w:rsidP="007C7D89">
      <w:pPr>
        <w:spacing w:line="480" w:lineRule="auto"/>
      </w:pPr>
      <w:r>
        <w:tab/>
      </w:r>
      <w:r w:rsidR="00BA3500">
        <w:t>Researchers will present data to the CDC contact, city, and state representatives in Alabama</w:t>
      </w:r>
      <w:r>
        <w:t xml:space="preserve">. While this proposed study involves a small population, results are expected to confirm </w:t>
      </w:r>
      <w:r>
        <w:lastRenderedPageBreak/>
        <w:t xml:space="preserve">the efficacy of NSEs in </w:t>
      </w:r>
      <w:r w:rsidR="00BA3500">
        <w:t xml:space="preserve">the </w:t>
      </w:r>
      <w:r>
        <w:t xml:space="preserve">transmission reduction of HIV, HBV, and HCV in the injection drug-using population. If </w:t>
      </w:r>
      <w:r w:rsidR="00BA3500">
        <w:t xml:space="preserve">the </w:t>
      </w:r>
      <w:r>
        <w:t>eff</w:t>
      </w:r>
      <w:r w:rsidR="00BA3500">
        <w:t>ectiveness</w:t>
      </w:r>
      <w:r>
        <w:t xml:space="preserve"> of NSEs is </w:t>
      </w:r>
      <w:r w:rsidR="00BA3500">
        <w:t>establish</w:t>
      </w:r>
      <w:r>
        <w:t xml:space="preserve">ed, data will encourage representatives to seek CDC funding for NSE implementation. Pending study results, data can be submitted nationwide to </w:t>
      </w:r>
      <w:r w:rsidR="00BA3500">
        <w:t>facilitat</w:t>
      </w:r>
      <w:r>
        <w:t>e operations of new NSE locations</w:t>
      </w:r>
      <w:r w:rsidR="00B00BE6">
        <w:t xml:space="preserve"> (Centers for Disease Control and Prevention, 2016b)</w:t>
      </w:r>
      <w:r>
        <w:t>.</w:t>
      </w:r>
      <w:r w:rsidR="005A0CE3">
        <w:t xml:space="preserve"> The CDC (2022) requires the submission of evaluation every six months. </w:t>
      </w:r>
    </w:p>
    <w:p w14:paraId="68A5918E" w14:textId="7B84549D" w:rsidR="00BB3719" w:rsidRDefault="00BB3719" w:rsidP="007C7D89">
      <w:pPr>
        <w:spacing w:line="480" w:lineRule="auto"/>
        <w:rPr>
          <w:b/>
          <w:bCs/>
        </w:rPr>
      </w:pPr>
      <w:r w:rsidRPr="005A0CE3">
        <w:rPr>
          <w:b/>
          <w:bCs/>
        </w:rPr>
        <w:t>Communication and Leadership</w:t>
      </w:r>
    </w:p>
    <w:p w14:paraId="6DE528E5" w14:textId="77777777" w:rsidR="005A0CE3" w:rsidRDefault="005A0CE3" w:rsidP="007C7D89">
      <w:pPr>
        <w:spacing w:line="480" w:lineRule="auto"/>
      </w:pPr>
      <w:r>
        <w:rPr>
          <w:b/>
          <w:bCs/>
        </w:rPr>
        <w:tab/>
      </w:r>
      <w:r>
        <w:t xml:space="preserve">This study aims to remain utterly transparent while protecting the subjects’ privacy. Open communication will be established with public health providers, county and city leaders, and representatives for each state. Each health department will become an integral part of this study, acting as possible “home” sites, data collection sites, and offering a wealth of information regarding the public health status of each location. Furthermore, health departments and public health officials act as the building block of preventative services at a local level. </w:t>
      </w:r>
    </w:p>
    <w:p w14:paraId="7C721DDD" w14:textId="57D1B8CF" w:rsidR="00761E4C" w:rsidRDefault="005A0CE3" w:rsidP="007C7D89">
      <w:pPr>
        <w:spacing w:line="480" w:lineRule="auto"/>
        <w:rPr>
          <w:b/>
          <w:bCs/>
        </w:rPr>
      </w:pPr>
      <w:r>
        <w:tab/>
        <w:t xml:space="preserve"> Based on transparency and trust, a close partnership is a mainstay of such a personalized study. Like the people they treat, NSEs may elicit a stigma of dirtiness, assisting drug users, and increasing the population of injection-drug users. However, with increasingly available data, effective leadership and collaboration can decrease the spread of misinformation and implement new NSEs across the country.  </w:t>
      </w:r>
    </w:p>
    <w:p w14:paraId="731E8F79" w14:textId="2FB6ABD5" w:rsidR="00F70BAF" w:rsidRDefault="00F70BAF" w:rsidP="007C7D89">
      <w:pPr>
        <w:spacing w:line="480" w:lineRule="auto"/>
        <w:rPr>
          <w:b/>
          <w:bCs/>
        </w:rPr>
      </w:pPr>
      <w:r>
        <w:rPr>
          <w:b/>
          <w:bCs/>
        </w:rPr>
        <w:t>Conclusion</w:t>
      </w:r>
    </w:p>
    <w:p w14:paraId="0DEAD277" w14:textId="34FB515A" w:rsidR="00143613" w:rsidRPr="002C273A" w:rsidRDefault="002C273A" w:rsidP="002C273A">
      <w:pPr>
        <w:spacing w:line="480" w:lineRule="auto"/>
        <w:ind w:firstLine="720"/>
      </w:pPr>
      <w:r w:rsidRPr="002C273A">
        <w:t>This study aims to increase available data on the efficacy of NSEs in the prevention of HIV, HBV, and HCV transmission in the injection drug-using population.</w:t>
      </w:r>
      <w:r>
        <w:t xml:space="preserve"> </w:t>
      </w:r>
      <w:r w:rsidR="00AE5049">
        <w:t>The United States remain</w:t>
      </w:r>
      <w:r w:rsidR="00825B45">
        <w:t>s</w:t>
      </w:r>
      <w:r w:rsidR="00AE5049">
        <w:t xml:space="preserve"> in the </w:t>
      </w:r>
      <w:r w:rsidR="00D31CD6">
        <w:t>throes of an opioid abuse epidemic.</w:t>
      </w:r>
      <w:r w:rsidR="00732283">
        <w:rPr>
          <w:rFonts w:cs="Times New Roman"/>
          <w:color w:val="000000"/>
          <w:szCs w:val="24"/>
          <w:shd w:val="clear" w:color="auto" w:fill="FFFFFF"/>
        </w:rPr>
        <w:t xml:space="preserve"> Yet, r</w:t>
      </w:r>
      <w:r w:rsidR="00732283" w:rsidRPr="00732283">
        <w:rPr>
          <w:rFonts w:cs="Times New Roman"/>
          <w:color w:val="000000"/>
          <w:szCs w:val="24"/>
          <w:shd w:val="clear" w:color="auto" w:fill="FFFFFF"/>
        </w:rPr>
        <w:t xml:space="preserve">esearch shows that NSEs are safe, effective, and </w:t>
      </w:r>
      <w:proofErr w:type="gramStart"/>
      <w:r w:rsidR="00732283" w:rsidRPr="00732283">
        <w:rPr>
          <w:rFonts w:cs="Times New Roman"/>
          <w:color w:val="000000"/>
          <w:szCs w:val="24"/>
          <w:shd w:val="clear" w:color="auto" w:fill="FFFFFF"/>
        </w:rPr>
        <w:t>cost-saving</w:t>
      </w:r>
      <w:proofErr w:type="gramEnd"/>
      <w:r w:rsidR="00732283" w:rsidRPr="00732283">
        <w:rPr>
          <w:rFonts w:cs="Times New Roman"/>
          <w:color w:val="000000"/>
          <w:szCs w:val="24"/>
          <w:shd w:val="clear" w:color="auto" w:fill="FFFFFF"/>
        </w:rPr>
        <w:t xml:space="preserve">. In addition, they do not increase illegal drug use and play an essential </w:t>
      </w:r>
      <w:r w:rsidR="00732283" w:rsidRPr="00732283">
        <w:rPr>
          <w:rFonts w:cs="Times New Roman"/>
          <w:color w:val="000000"/>
          <w:szCs w:val="24"/>
          <w:shd w:val="clear" w:color="auto" w:fill="FFFFFF"/>
        </w:rPr>
        <w:lastRenderedPageBreak/>
        <w:t>role in reducing the transmission of HIV, HBV, and HCV infections</w:t>
      </w:r>
      <w:r w:rsidR="002A4B70">
        <w:rPr>
          <w:rFonts w:cs="Times New Roman"/>
          <w:color w:val="000000"/>
          <w:szCs w:val="24"/>
          <w:shd w:val="clear" w:color="auto" w:fill="FFFFFF"/>
        </w:rPr>
        <w:t xml:space="preserve"> </w:t>
      </w:r>
      <w:r w:rsidR="002A4B70">
        <w:t>(</w:t>
      </w:r>
      <w:proofErr w:type="spellStart"/>
      <w:r w:rsidR="002A4B70">
        <w:t>Geodel</w:t>
      </w:r>
      <w:proofErr w:type="spellEnd"/>
      <w:r w:rsidR="002A4B70">
        <w:t xml:space="preserve"> et al., 2020 &amp; Pollack, 2001)</w:t>
      </w:r>
      <w:r w:rsidR="00732283">
        <w:rPr>
          <w:rFonts w:cs="Times New Roman"/>
          <w:color w:val="000000"/>
          <w:szCs w:val="24"/>
          <w:shd w:val="clear" w:color="auto" w:fill="FFFFFF"/>
        </w:rPr>
        <w:t>. Additional q</w:t>
      </w:r>
      <w:r w:rsidR="00844AA1">
        <w:t xml:space="preserve">uantitative data proving the positive correlation between the two could help </w:t>
      </w:r>
      <w:r w:rsidR="00A04960">
        <w:t xml:space="preserve">direct public health </w:t>
      </w:r>
      <w:r w:rsidR="00AD7F8D">
        <w:t>policymaking.</w:t>
      </w:r>
      <w:r w:rsidR="001C0C3A">
        <w:t xml:space="preserve"> </w:t>
      </w:r>
      <w:r w:rsidR="00895BE8">
        <w:t xml:space="preserve">While social stigmas and </w:t>
      </w:r>
      <w:r w:rsidR="004200C2">
        <w:t xml:space="preserve">participant distrust of the medical system are </w:t>
      </w:r>
      <w:r w:rsidR="00C44E27">
        <w:t>considerabl</w:t>
      </w:r>
      <w:r w:rsidR="004200C2">
        <w:t>e</w:t>
      </w:r>
      <w:r w:rsidR="00C44E27">
        <w:t xml:space="preserve"> hurdles to leap, </w:t>
      </w:r>
      <w:r w:rsidR="005B3286">
        <w:t>th</w:t>
      </w:r>
      <w:r w:rsidR="003624CA">
        <w:t>is study</w:t>
      </w:r>
      <w:r w:rsidR="00BA3500">
        <w:t>’</w:t>
      </w:r>
      <w:r w:rsidR="003624CA">
        <w:t>s expected outcome</w:t>
      </w:r>
      <w:r w:rsidR="00CE3AA4">
        <w:t xml:space="preserve"> could help </w:t>
      </w:r>
      <w:r w:rsidR="008271EE">
        <w:t>curb an epidemic</w:t>
      </w:r>
      <w:r w:rsidR="003624CA">
        <w:t xml:space="preserve"> in the United States. </w:t>
      </w:r>
      <w:r w:rsidR="008266DD">
        <w:t>Lastly, a</w:t>
      </w:r>
      <w:r w:rsidR="00EB3FE3">
        <w:t xml:space="preserve">ccording to </w:t>
      </w:r>
      <w:proofErr w:type="spellStart"/>
      <w:r w:rsidR="00EB3FE3">
        <w:t>Sa</w:t>
      </w:r>
      <w:r w:rsidR="00DC5D8F">
        <w:t>wang</w:t>
      </w:r>
      <w:r w:rsidR="00EB3FE3">
        <w:t>jit</w:t>
      </w:r>
      <w:proofErr w:type="spellEnd"/>
      <w:r w:rsidR="00EB3FE3">
        <w:t xml:space="preserve"> et al. (2016</w:t>
      </w:r>
      <w:r w:rsidR="002E6C0B">
        <w:t xml:space="preserve">, p. 244), </w:t>
      </w:r>
      <w:r w:rsidR="00BA3500">
        <w:t>“</w:t>
      </w:r>
      <w:r w:rsidR="002E6C0B">
        <w:t>safe injection practices are one of the main elements of any intervention aiming to reduce the burden of infectious diseases</w:t>
      </w:r>
      <w:r w:rsidR="00BA3500">
        <w:t>”</w:t>
      </w:r>
      <w:r w:rsidR="002E6C0B">
        <w:t xml:space="preserve"> </w:t>
      </w:r>
      <w:r w:rsidR="00842477">
        <w:t xml:space="preserve">in the injection drug-using population. </w:t>
      </w:r>
      <w:r w:rsidR="008271EE">
        <w:t xml:space="preserve"> </w:t>
      </w:r>
    </w:p>
    <w:p w14:paraId="118B6C57" w14:textId="2CC7F736" w:rsidR="007C7D89" w:rsidRDefault="007C7D89" w:rsidP="007C7D89">
      <w:pPr>
        <w:spacing w:line="480" w:lineRule="auto"/>
        <w:rPr>
          <w:b/>
          <w:bCs/>
        </w:rPr>
      </w:pPr>
    </w:p>
    <w:p w14:paraId="3CB270C9" w14:textId="23ABC7FA" w:rsidR="007C7D89" w:rsidRDefault="007C7D89" w:rsidP="007C7D89">
      <w:pPr>
        <w:spacing w:line="480" w:lineRule="auto"/>
        <w:rPr>
          <w:b/>
          <w:bCs/>
        </w:rPr>
      </w:pPr>
    </w:p>
    <w:p w14:paraId="10237A8B" w14:textId="3C20ED3B" w:rsidR="005A0CE3" w:rsidRDefault="005A0CE3" w:rsidP="007C7D89">
      <w:pPr>
        <w:spacing w:line="480" w:lineRule="auto"/>
        <w:rPr>
          <w:b/>
          <w:bCs/>
        </w:rPr>
      </w:pPr>
    </w:p>
    <w:p w14:paraId="5639B5E4" w14:textId="7F03D446" w:rsidR="005A0CE3" w:rsidRDefault="005A0CE3" w:rsidP="007C7D89">
      <w:pPr>
        <w:spacing w:line="480" w:lineRule="auto"/>
        <w:rPr>
          <w:b/>
          <w:bCs/>
        </w:rPr>
      </w:pPr>
    </w:p>
    <w:p w14:paraId="50F38993" w14:textId="29F1A7E4" w:rsidR="005A0CE3" w:rsidRDefault="005A0CE3" w:rsidP="007C7D89">
      <w:pPr>
        <w:spacing w:line="480" w:lineRule="auto"/>
        <w:rPr>
          <w:b/>
          <w:bCs/>
        </w:rPr>
      </w:pPr>
    </w:p>
    <w:p w14:paraId="36C2A75A" w14:textId="649AF325" w:rsidR="005A0CE3" w:rsidRDefault="005A0CE3" w:rsidP="007C7D89">
      <w:pPr>
        <w:spacing w:line="480" w:lineRule="auto"/>
        <w:rPr>
          <w:b/>
          <w:bCs/>
        </w:rPr>
      </w:pPr>
    </w:p>
    <w:p w14:paraId="276ECF46" w14:textId="61127B6E" w:rsidR="005A0CE3" w:rsidRDefault="005A0CE3" w:rsidP="007C7D89">
      <w:pPr>
        <w:spacing w:line="480" w:lineRule="auto"/>
        <w:rPr>
          <w:b/>
          <w:bCs/>
        </w:rPr>
      </w:pPr>
    </w:p>
    <w:p w14:paraId="1D162459" w14:textId="757D27B2" w:rsidR="005A0CE3" w:rsidRDefault="005A0CE3" w:rsidP="007C7D89">
      <w:pPr>
        <w:spacing w:line="480" w:lineRule="auto"/>
        <w:rPr>
          <w:b/>
          <w:bCs/>
        </w:rPr>
      </w:pPr>
    </w:p>
    <w:p w14:paraId="5D68CECC" w14:textId="18D2611F" w:rsidR="005A0CE3" w:rsidRDefault="005A0CE3" w:rsidP="007C7D89">
      <w:pPr>
        <w:spacing w:line="480" w:lineRule="auto"/>
        <w:rPr>
          <w:b/>
          <w:bCs/>
        </w:rPr>
      </w:pPr>
    </w:p>
    <w:p w14:paraId="59E4A326" w14:textId="3353CE2F" w:rsidR="005A0CE3" w:rsidRDefault="005A0CE3" w:rsidP="007C7D89">
      <w:pPr>
        <w:spacing w:line="480" w:lineRule="auto"/>
        <w:rPr>
          <w:b/>
          <w:bCs/>
        </w:rPr>
      </w:pPr>
    </w:p>
    <w:p w14:paraId="3119B1B3" w14:textId="41C2E496" w:rsidR="005A0CE3" w:rsidRDefault="005A0CE3" w:rsidP="007C7D89">
      <w:pPr>
        <w:spacing w:line="480" w:lineRule="auto"/>
        <w:rPr>
          <w:b/>
          <w:bCs/>
        </w:rPr>
      </w:pPr>
    </w:p>
    <w:p w14:paraId="6CC8300C" w14:textId="77777777" w:rsidR="005A0CE3" w:rsidRDefault="005A0CE3" w:rsidP="007C7D89">
      <w:pPr>
        <w:spacing w:line="480" w:lineRule="auto"/>
        <w:rPr>
          <w:b/>
          <w:bCs/>
        </w:rPr>
      </w:pPr>
    </w:p>
    <w:p w14:paraId="6A78E0FA" w14:textId="77777777" w:rsidR="00962C98" w:rsidRDefault="00962C98" w:rsidP="00962C98">
      <w:pPr>
        <w:spacing w:line="480" w:lineRule="auto"/>
        <w:rPr>
          <w:b/>
          <w:bCs/>
        </w:rPr>
      </w:pPr>
    </w:p>
    <w:p w14:paraId="4D43E174" w14:textId="61F6D528" w:rsidR="007C7D89" w:rsidRDefault="007C7D89" w:rsidP="00962C98">
      <w:pPr>
        <w:spacing w:line="480" w:lineRule="auto"/>
        <w:jc w:val="center"/>
        <w:rPr>
          <w:b/>
          <w:bCs/>
        </w:rPr>
      </w:pPr>
      <w:r>
        <w:rPr>
          <w:b/>
          <w:bCs/>
        </w:rPr>
        <w:lastRenderedPageBreak/>
        <w:t>References</w:t>
      </w:r>
    </w:p>
    <w:p w14:paraId="3F810E87" w14:textId="229690D2" w:rsidR="002E4F26" w:rsidRPr="002E4F26" w:rsidRDefault="002E4F26" w:rsidP="00E70FE8">
      <w:pPr>
        <w:pStyle w:val="NormalWeb"/>
        <w:spacing w:line="480" w:lineRule="auto"/>
        <w:ind w:left="567" w:hanging="567"/>
        <w:rPr>
          <w:color w:val="303030"/>
          <w:shd w:val="clear" w:color="auto" w:fill="FFFFFF"/>
        </w:rPr>
      </w:pPr>
      <w:r w:rsidRPr="0045288A">
        <w:rPr>
          <w:color w:val="303030"/>
          <w:shd w:val="clear" w:color="auto" w:fill="FFFFFF"/>
        </w:rPr>
        <w:t>Academy for Educational Development</w:t>
      </w:r>
      <w:r w:rsidR="007D5E94">
        <w:rPr>
          <w:color w:val="303030"/>
          <w:shd w:val="clear" w:color="auto" w:fill="FFFFFF"/>
        </w:rPr>
        <w:t>;</w:t>
      </w:r>
      <w:r w:rsidRPr="0045288A">
        <w:rPr>
          <w:color w:val="303030"/>
          <w:shd w:val="clear" w:color="auto" w:fill="FFFFFF"/>
        </w:rPr>
        <w:t xml:space="preserve"> National Center for HIV, STD, and TB Prevention</w:t>
      </w:r>
      <w:r w:rsidR="007D5E94">
        <w:rPr>
          <w:color w:val="303030"/>
          <w:shd w:val="clear" w:color="auto" w:fill="FFFFFF"/>
        </w:rPr>
        <w:t>;</w:t>
      </w:r>
      <w:r w:rsidRPr="0045288A">
        <w:rPr>
          <w:color w:val="303030"/>
          <w:shd w:val="clear" w:color="auto" w:fill="FFFFFF"/>
        </w:rPr>
        <w:t xml:space="preserve"> &amp; Division of HIV/AIDS Prevention. (2000).</w:t>
      </w:r>
      <w:r>
        <w:rPr>
          <w:color w:val="303030"/>
          <w:shd w:val="clear" w:color="auto" w:fill="FFFFFF"/>
        </w:rPr>
        <w:t xml:space="preserve"> </w:t>
      </w:r>
      <w:r w:rsidRPr="002E4F26">
        <w:rPr>
          <w:i/>
          <w:iCs/>
          <w:color w:val="303030"/>
          <w:shd w:val="clear" w:color="auto" w:fill="FFFFFF"/>
        </w:rPr>
        <w:t>A comprehensive approach: Preventing blood-borne infections among injection drug users</w:t>
      </w:r>
      <w:r>
        <w:rPr>
          <w:i/>
          <w:iCs/>
          <w:color w:val="303030"/>
          <w:shd w:val="clear" w:color="auto" w:fill="FFFFFF"/>
        </w:rPr>
        <w:t>.</w:t>
      </w:r>
      <w:r>
        <w:rPr>
          <w:color w:val="303030"/>
          <w:shd w:val="clear" w:color="auto" w:fill="FFFFFF"/>
        </w:rPr>
        <w:t xml:space="preserve"> Centers for Disease Control and Prevention. Retrieved from </w:t>
      </w:r>
      <w:r w:rsidRPr="002E4F26">
        <w:rPr>
          <w:color w:val="303030"/>
          <w:shd w:val="clear" w:color="auto" w:fill="FFFFFF"/>
        </w:rPr>
        <w:t>https://stacks.cdc.gov/view/cdc/6559</w:t>
      </w:r>
    </w:p>
    <w:p w14:paraId="51CC99E9" w14:textId="4CF71F85" w:rsidR="004810CE" w:rsidRPr="004810CE" w:rsidRDefault="004810CE" w:rsidP="00216628">
      <w:pPr>
        <w:pStyle w:val="NormalWeb"/>
        <w:spacing w:line="480" w:lineRule="auto"/>
        <w:ind w:left="567" w:hanging="567"/>
        <w:rPr>
          <w:color w:val="303030"/>
          <w:shd w:val="clear" w:color="auto" w:fill="FFFFFF"/>
        </w:rPr>
      </w:pPr>
      <w:r w:rsidRPr="004810CE">
        <w:rPr>
          <w:color w:val="303030"/>
          <w:shd w:val="clear" w:color="auto" w:fill="FFFFFF"/>
        </w:rPr>
        <w:t xml:space="preserve">Baer, A. R., </w:t>
      </w:r>
      <w:proofErr w:type="spellStart"/>
      <w:r w:rsidRPr="004810CE">
        <w:rPr>
          <w:color w:val="303030"/>
          <w:shd w:val="clear" w:color="auto" w:fill="FFFFFF"/>
        </w:rPr>
        <w:t>Zon</w:t>
      </w:r>
      <w:proofErr w:type="spellEnd"/>
      <w:r w:rsidRPr="004810CE">
        <w:rPr>
          <w:color w:val="303030"/>
          <w:shd w:val="clear" w:color="auto" w:fill="FFFFFF"/>
        </w:rPr>
        <w:t xml:space="preserve">, R., Devine, S., &amp; </w:t>
      </w:r>
      <w:proofErr w:type="spellStart"/>
      <w:r w:rsidRPr="004810CE">
        <w:rPr>
          <w:color w:val="303030"/>
          <w:shd w:val="clear" w:color="auto" w:fill="FFFFFF"/>
        </w:rPr>
        <w:t>Lyss</w:t>
      </w:r>
      <w:proofErr w:type="spellEnd"/>
      <w:r w:rsidRPr="004810CE">
        <w:rPr>
          <w:color w:val="303030"/>
          <w:shd w:val="clear" w:color="auto" w:fill="FFFFFF"/>
        </w:rPr>
        <w:t xml:space="preserve">, A. P. (2011). The clinical research </w:t>
      </w:r>
      <w:proofErr w:type="gramStart"/>
      <w:r w:rsidRPr="004810CE">
        <w:rPr>
          <w:color w:val="303030"/>
          <w:shd w:val="clear" w:color="auto" w:fill="FFFFFF"/>
        </w:rPr>
        <w:t>team</w:t>
      </w:r>
      <w:proofErr w:type="gramEnd"/>
      <w:r w:rsidRPr="004810CE">
        <w:rPr>
          <w:color w:val="303030"/>
          <w:shd w:val="clear" w:color="auto" w:fill="FFFFFF"/>
        </w:rPr>
        <w:t xml:space="preserve">. </w:t>
      </w:r>
      <w:r w:rsidRPr="00485658">
        <w:rPr>
          <w:i/>
          <w:iCs/>
          <w:color w:val="303030"/>
          <w:shd w:val="clear" w:color="auto" w:fill="FFFFFF"/>
        </w:rPr>
        <w:t xml:space="preserve">Journal of </w:t>
      </w:r>
      <w:r w:rsidR="00485658">
        <w:rPr>
          <w:i/>
          <w:iCs/>
          <w:color w:val="303030"/>
          <w:shd w:val="clear" w:color="auto" w:fill="FFFFFF"/>
        </w:rPr>
        <w:t>O</w:t>
      </w:r>
      <w:r w:rsidRPr="00485658">
        <w:rPr>
          <w:i/>
          <w:iCs/>
          <w:color w:val="303030"/>
          <w:shd w:val="clear" w:color="auto" w:fill="FFFFFF"/>
        </w:rPr>
        <w:t xml:space="preserve">ncology </w:t>
      </w:r>
      <w:r w:rsidR="00485658">
        <w:rPr>
          <w:i/>
          <w:iCs/>
          <w:color w:val="303030"/>
          <w:shd w:val="clear" w:color="auto" w:fill="FFFFFF"/>
        </w:rPr>
        <w:t>P</w:t>
      </w:r>
      <w:r w:rsidRPr="00485658">
        <w:rPr>
          <w:i/>
          <w:iCs/>
          <w:color w:val="303030"/>
          <w:shd w:val="clear" w:color="auto" w:fill="FFFFFF"/>
        </w:rPr>
        <w:t>ractice, 7</w:t>
      </w:r>
      <w:r w:rsidRPr="004810CE">
        <w:rPr>
          <w:color w:val="303030"/>
          <w:shd w:val="clear" w:color="auto" w:fill="FFFFFF"/>
        </w:rPr>
        <w:t>(3), 188–192. https://doi.org/10.1200/JOP.2011.000276</w:t>
      </w:r>
    </w:p>
    <w:p w14:paraId="00AA5ED3" w14:textId="6EC17A02" w:rsidR="00CD5F59" w:rsidRDefault="00CD5F59" w:rsidP="00216628">
      <w:pPr>
        <w:pStyle w:val="NormalWeb"/>
        <w:spacing w:line="480" w:lineRule="auto"/>
        <w:ind w:left="567" w:hanging="567"/>
      </w:pPr>
      <w:proofErr w:type="spellStart"/>
      <w:r>
        <w:t>Bayoumi</w:t>
      </w:r>
      <w:proofErr w:type="spellEnd"/>
      <w:r>
        <w:t xml:space="preserve">, A.M., &amp; </w:t>
      </w:r>
      <w:proofErr w:type="spellStart"/>
      <w:r>
        <w:t>Zaric</w:t>
      </w:r>
      <w:proofErr w:type="spellEnd"/>
      <w:r>
        <w:t>, G.S. (</w:t>
      </w:r>
      <w:r w:rsidR="007A3416">
        <w:t>2008)</w:t>
      </w:r>
      <w:r w:rsidR="000D44E3">
        <w:t xml:space="preserve">. </w:t>
      </w:r>
      <w:r w:rsidR="00D21BDE">
        <w:t>The cost-effectiveness of Vancouver</w:t>
      </w:r>
      <w:r w:rsidR="00BA3500">
        <w:t>’</w:t>
      </w:r>
      <w:r w:rsidR="00D21BDE">
        <w:t xml:space="preserve">s supervised injection facility. </w:t>
      </w:r>
      <w:r w:rsidR="00D21BDE">
        <w:rPr>
          <w:i/>
          <w:iCs/>
        </w:rPr>
        <w:t xml:space="preserve">Canadian Medical Association Journal, </w:t>
      </w:r>
      <w:r w:rsidR="00C65093">
        <w:rPr>
          <w:i/>
          <w:iCs/>
        </w:rPr>
        <w:t>179</w:t>
      </w:r>
      <w:r w:rsidR="00C65093">
        <w:t>(11), 1143-1151.</w:t>
      </w:r>
      <w:r w:rsidR="00624A37">
        <w:t xml:space="preserve"> doi:10.1503</w:t>
      </w:r>
      <w:r w:rsidR="00170270">
        <w:t>/cmaj.080808</w:t>
      </w:r>
    </w:p>
    <w:p w14:paraId="7FDCCCB6" w14:textId="77777777" w:rsidR="004F174C" w:rsidRDefault="00170270" w:rsidP="004F174C">
      <w:pPr>
        <w:pStyle w:val="NormalWeb"/>
        <w:spacing w:line="480" w:lineRule="auto"/>
        <w:ind w:left="567" w:hanging="567"/>
        <w:rPr>
          <w:rStyle w:val="Hyperlink"/>
        </w:rPr>
      </w:pPr>
      <w:proofErr w:type="spellStart"/>
      <w:r>
        <w:t>Belani</w:t>
      </w:r>
      <w:proofErr w:type="spellEnd"/>
      <w:r>
        <w:t>, H.K.,</w:t>
      </w:r>
      <w:r w:rsidR="004548F0">
        <w:t xml:space="preserve"> &amp; </w:t>
      </w:r>
      <w:proofErr w:type="spellStart"/>
      <w:r w:rsidR="004548F0">
        <w:t>Meunnig</w:t>
      </w:r>
      <w:proofErr w:type="spellEnd"/>
      <w:r w:rsidR="004548F0">
        <w:t>, P.A. (</w:t>
      </w:r>
      <w:r w:rsidR="00D32E72">
        <w:t xml:space="preserve">2008). Cost-effectiveness of needle and syringe exchange for the prevention of HIV in New York City. </w:t>
      </w:r>
      <w:r w:rsidR="000766A4">
        <w:rPr>
          <w:i/>
          <w:iCs/>
        </w:rPr>
        <w:t>Journal of HIV/AIDS &amp; Social Services, 7</w:t>
      </w:r>
      <w:r w:rsidR="000766A4">
        <w:t>(3)</w:t>
      </w:r>
      <w:r w:rsidR="00F03CF0">
        <w:t xml:space="preserve">, 229-240. </w:t>
      </w:r>
      <w:hyperlink r:id="rId8" w:history="1">
        <w:r w:rsidR="004E6B0A" w:rsidRPr="00506F56">
          <w:rPr>
            <w:rStyle w:val="Hyperlink"/>
          </w:rPr>
          <w:t>https://doi.org/10.1080/15381500802307492</w:t>
        </w:r>
      </w:hyperlink>
    </w:p>
    <w:p w14:paraId="35C8C038" w14:textId="5ADBE5F1" w:rsidR="004F174C" w:rsidRPr="004F174C" w:rsidRDefault="00F7313C" w:rsidP="004F174C">
      <w:pPr>
        <w:pStyle w:val="NormalWeb"/>
        <w:spacing w:line="360" w:lineRule="auto"/>
        <w:ind w:left="562" w:hanging="562"/>
        <w:rPr>
          <w:color w:val="0563C1" w:themeColor="hyperlink"/>
          <w:u w:val="single"/>
        </w:rPr>
      </w:pPr>
      <w:proofErr w:type="spellStart"/>
      <w:r w:rsidRPr="004F174C">
        <w:t>BestPlaces</w:t>
      </w:r>
      <w:proofErr w:type="spellEnd"/>
      <w:r w:rsidRPr="004F174C">
        <w:t xml:space="preserve">. (2020). </w:t>
      </w:r>
      <w:r w:rsidR="005A0952" w:rsidRPr="004F174C">
        <w:rPr>
          <w:i/>
          <w:iCs/>
        </w:rPr>
        <w:t xml:space="preserve">2020 Compare cities overview: </w:t>
      </w:r>
      <w:r w:rsidR="004F174C" w:rsidRPr="004F174C">
        <w:rPr>
          <w:i/>
          <w:iCs/>
          <w:color w:val="212529"/>
        </w:rPr>
        <w:t>Memphis, TN vs Birmingham, A</w:t>
      </w:r>
      <w:r w:rsidR="004F174C">
        <w:rPr>
          <w:i/>
          <w:iCs/>
          <w:color w:val="212529"/>
        </w:rPr>
        <w:t xml:space="preserve">L. </w:t>
      </w:r>
      <w:r w:rsidR="004F174C">
        <w:rPr>
          <w:color w:val="212529"/>
        </w:rPr>
        <w:t xml:space="preserve">Retrieved from </w:t>
      </w:r>
      <w:r w:rsidR="004F174C" w:rsidRPr="004F174C">
        <w:rPr>
          <w:color w:val="212529"/>
        </w:rPr>
        <w:t>https://www.bestplaces.net/compare-cities/memphis_tn/birmingham_al/overview</w:t>
      </w:r>
    </w:p>
    <w:p w14:paraId="4B81B45E" w14:textId="38552712" w:rsidR="004E6B0A" w:rsidRPr="004F174C" w:rsidRDefault="004E6B0A" w:rsidP="004F174C">
      <w:pPr>
        <w:pStyle w:val="NormalWeb"/>
        <w:spacing w:line="360" w:lineRule="auto"/>
        <w:ind w:left="562" w:hanging="562"/>
        <w:rPr>
          <w:color w:val="0563C1" w:themeColor="hyperlink"/>
          <w:u w:val="single"/>
        </w:rPr>
      </w:pPr>
      <w:r>
        <w:t xml:space="preserve">Burt, R.D., &amp; </w:t>
      </w:r>
      <w:proofErr w:type="spellStart"/>
      <w:r>
        <w:t>Thiede</w:t>
      </w:r>
      <w:proofErr w:type="spellEnd"/>
      <w:r>
        <w:t>, H. (2016).</w:t>
      </w:r>
      <w:r w:rsidR="000F3F57">
        <w:t xml:space="preserve"> Reduction in needle sharing among Seattle-area injection drug users across 4 surveys, 1994-2013. </w:t>
      </w:r>
      <w:r w:rsidR="00B3668F">
        <w:rPr>
          <w:i/>
          <w:iCs/>
        </w:rPr>
        <w:t>American Journal of Public Health, 106</w:t>
      </w:r>
      <w:r w:rsidR="00B3668F">
        <w:t>(</w:t>
      </w:r>
      <w:r w:rsidR="00FE4389">
        <w:t>2)</w:t>
      </w:r>
      <w:r w:rsidR="009D5F78">
        <w:t>,</w:t>
      </w:r>
      <w:r w:rsidR="00FE4389">
        <w:t xml:space="preserve"> 301-307.</w:t>
      </w:r>
      <w:r w:rsidR="009D5F78">
        <w:t xml:space="preserve"> doi:10.2105/AJPH.2015</w:t>
      </w:r>
      <w:r w:rsidR="00BE542D">
        <w:t>.302959</w:t>
      </w:r>
    </w:p>
    <w:p w14:paraId="29A89942" w14:textId="2C26367E" w:rsidR="007D5E94" w:rsidRDefault="001215AA" w:rsidP="007D5E94">
      <w:pPr>
        <w:pStyle w:val="NormalWeb"/>
        <w:spacing w:line="480" w:lineRule="auto"/>
        <w:ind w:left="567" w:hanging="567"/>
        <w:rPr>
          <w:rStyle w:val="Hyperlink"/>
        </w:rPr>
      </w:pPr>
      <w:r>
        <w:t>Center for Disease</w:t>
      </w:r>
      <w:r w:rsidR="00E52709">
        <w:t xml:space="preserve"> Control and Prevention. (201</w:t>
      </w:r>
      <w:r w:rsidR="001A44B4">
        <w:t>6</w:t>
      </w:r>
      <w:r w:rsidR="007D5E94">
        <w:t>a</w:t>
      </w:r>
      <w:r w:rsidR="00E52709">
        <w:t xml:space="preserve">). </w:t>
      </w:r>
      <w:r w:rsidR="00E52709">
        <w:rPr>
          <w:i/>
          <w:iCs/>
        </w:rPr>
        <w:t>HIV and injection drug use: Syringe services programs for HIV prevention</w:t>
      </w:r>
      <w:r w:rsidR="00332380">
        <w:rPr>
          <w:i/>
          <w:iCs/>
        </w:rPr>
        <w:t>.</w:t>
      </w:r>
      <w:r w:rsidR="00083A66">
        <w:t xml:space="preserve"> Centers for Disease Control and Prevention.</w:t>
      </w:r>
      <w:r w:rsidR="00332380">
        <w:t xml:space="preserve"> </w:t>
      </w:r>
      <w:r w:rsidR="00332380">
        <w:lastRenderedPageBreak/>
        <w:t xml:space="preserve">Retrieved from </w:t>
      </w:r>
      <w:hyperlink r:id="rId9" w:history="1">
        <w:r w:rsidR="00DB4CB5" w:rsidRPr="00E419E6">
          <w:rPr>
            <w:rStyle w:val="Hyperlink"/>
          </w:rPr>
          <w:t>https://www.cdc.gov/nchhstp/dear_colleague/2016/dcl-112916-hiv-and-injection-drug-use.html</w:t>
        </w:r>
      </w:hyperlink>
    </w:p>
    <w:p w14:paraId="0C060D79" w14:textId="69E94D0D" w:rsidR="007D5E94" w:rsidRDefault="007D5E94" w:rsidP="007D5E94">
      <w:pPr>
        <w:pStyle w:val="NormalWeb"/>
        <w:spacing w:line="480" w:lineRule="auto"/>
        <w:ind w:left="567" w:hanging="567"/>
      </w:pPr>
      <w:r>
        <w:t xml:space="preserve">Centers for Disease Control and Prevention. (2016b). </w:t>
      </w:r>
      <w:r w:rsidRPr="007D5E94">
        <w:rPr>
          <w:i/>
          <w:iCs/>
        </w:rPr>
        <w:t>Program guidance for implementing certain components of syringe services programs</w:t>
      </w:r>
      <w:r>
        <w:t xml:space="preserve">. Centers for Disease Control and Prevention. Retrieved from </w:t>
      </w:r>
      <w:hyperlink r:id="rId10" w:history="1">
        <w:r w:rsidRPr="00DF282C">
          <w:rPr>
            <w:rStyle w:val="Hyperlink"/>
          </w:rPr>
          <w:t>https://www.cdc.gov/hiv/pdf/risk/cdc-hiv-syringe-exchange-services.pdf</w:t>
        </w:r>
      </w:hyperlink>
    </w:p>
    <w:p w14:paraId="0C4C78F9" w14:textId="302163FF" w:rsidR="00083A66" w:rsidRDefault="00083A66" w:rsidP="007D5E94">
      <w:pPr>
        <w:pStyle w:val="NormalWeb"/>
        <w:spacing w:line="480" w:lineRule="auto"/>
        <w:ind w:left="567" w:hanging="567"/>
      </w:pPr>
      <w:r w:rsidRPr="0045288A">
        <w:t>Centers for Disease Control and Prevention. (2022).</w:t>
      </w:r>
      <w:r w:rsidRPr="00083A66">
        <w:t xml:space="preserve"> </w:t>
      </w:r>
      <w:r w:rsidRPr="00083A66">
        <w:rPr>
          <w:i/>
          <w:iCs/>
        </w:rPr>
        <w:t xml:space="preserve">Determination of need for </w:t>
      </w:r>
      <w:r w:rsidR="007D5E94">
        <w:rPr>
          <w:i/>
          <w:iCs/>
        </w:rPr>
        <w:t>s</w:t>
      </w:r>
      <w:r w:rsidRPr="00083A66">
        <w:rPr>
          <w:i/>
          <w:iCs/>
        </w:rPr>
        <w:t xml:space="preserve">yringe </w:t>
      </w:r>
      <w:r w:rsidR="007D5E94">
        <w:rPr>
          <w:i/>
          <w:iCs/>
        </w:rPr>
        <w:t>s</w:t>
      </w:r>
      <w:r w:rsidRPr="00083A66">
        <w:rPr>
          <w:i/>
          <w:iCs/>
        </w:rPr>
        <w:t>ervices</w:t>
      </w:r>
      <w:r w:rsidR="007D5E94">
        <w:rPr>
          <w:i/>
          <w:iCs/>
        </w:rPr>
        <w:t xml:space="preserve"> p</w:t>
      </w:r>
      <w:r w:rsidRPr="00083A66">
        <w:rPr>
          <w:i/>
          <w:iCs/>
        </w:rPr>
        <w:t>rograms</w:t>
      </w:r>
      <w:r w:rsidRPr="00083A66">
        <w:t>. Centers for Disease Control and Prevention. Retrieved from https://www.cdc.gov/ssp/determination-of-need-for-ssp.html#:~:text=Under%20the%20Consolidated%20Appropriation%20Act,to%20purchase%20needles%20or%20syringes.</w:t>
      </w:r>
    </w:p>
    <w:p w14:paraId="5541F069" w14:textId="6843D755" w:rsidR="00DB4CB5" w:rsidRPr="00576B31" w:rsidRDefault="00DB4CB5" w:rsidP="00216628">
      <w:pPr>
        <w:pStyle w:val="NormalWeb"/>
        <w:spacing w:line="480" w:lineRule="auto"/>
        <w:ind w:left="567" w:hanging="567"/>
      </w:pPr>
      <w:r>
        <w:t xml:space="preserve">Collaborative Institutional Training Initiative. (2019). </w:t>
      </w:r>
      <w:r w:rsidR="00D74892">
        <w:rPr>
          <w:i/>
          <w:iCs/>
        </w:rPr>
        <w:t>Populations in research requiring additional considerations and/or</w:t>
      </w:r>
      <w:r w:rsidR="00576B31">
        <w:rPr>
          <w:i/>
          <w:iCs/>
        </w:rPr>
        <w:t xml:space="preserve"> protections.</w:t>
      </w:r>
      <w:r w:rsidR="00576B31">
        <w:t xml:space="preserve"> Retrieved from </w:t>
      </w:r>
      <w:r w:rsidR="00576B31" w:rsidRPr="00576B31">
        <w:t>https://www.citiprogram.org/members/index.cfm?pageID=665&amp;ce=1#view</w:t>
      </w:r>
    </w:p>
    <w:p w14:paraId="00C791F6" w14:textId="7873940E" w:rsidR="00176833" w:rsidRDefault="00176833" w:rsidP="00216628">
      <w:pPr>
        <w:pStyle w:val="NormalWeb"/>
        <w:spacing w:line="480" w:lineRule="auto"/>
        <w:ind w:left="567" w:hanging="567"/>
      </w:pPr>
      <w:r>
        <w:t xml:space="preserve">Delgado, C. (2004). Evaluation of needle exchange programs. </w:t>
      </w:r>
      <w:r>
        <w:rPr>
          <w:i/>
          <w:iCs/>
        </w:rPr>
        <w:t>Public Health Nursing</w:t>
      </w:r>
      <w:r>
        <w:t xml:space="preserve">, </w:t>
      </w:r>
      <w:r>
        <w:rPr>
          <w:i/>
          <w:iCs/>
        </w:rPr>
        <w:t>21</w:t>
      </w:r>
      <w:r>
        <w:t xml:space="preserve">(2), 171–178. </w:t>
      </w:r>
      <w:hyperlink r:id="rId11" w:history="1">
        <w:r w:rsidR="00FB6AFF" w:rsidRPr="00E419E6">
          <w:rPr>
            <w:rStyle w:val="Hyperlink"/>
          </w:rPr>
          <w:t>https://doi.org/10.1111/j.0737-1209.2004.021211.x</w:t>
        </w:r>
      </w:hyperlink>
      <w:r>
        <w:t xml:space="preserve"> </w:t>
      </w:r>
    </w:p>
    <w:p w14:paraId="7A8A7661" w14:textId="726C5A21" w:rsidR="007D5E94" w:rsidRPr="007D5E94" w:rsidRDefault="007D5E94" w:rsidP="00216628">
      <w:pPr>
        <w:pStyle w:val="NormalWeb"/>
        <w:spacing w:line="480" w:lineRule="auto"/>
        <w:ind w:left="567" w:hanging="567"/>
      </w:pPr>
      <w:r>
        <w:t xml:space="preserve">Department of Health and Human Services. (2016). </w:t>
      </w:r>
      <w:r>
        <w:rPr>
          <w:i/>
          <w:iCs/>
        </w:rPr>
        <w:t>Implementation guidance for syringe services programs.</w:t>
      </w:r>
      <w:r>
        <w:t xml:space="preserve"> Retrieved from </w:t>
      </w:r>
      <w:r w:rsidRPr="007D5E94">
        <w:t>https://www.samhsa.gov/sites/default/files/grants/ssp-guidance-for-hiv-grants.pdf</w:t>
      </w:r>
    </w:p>
    <w:p w14:paraId="1C9D26C6" w14:textId="6024C013" w:rsidR="00FB6AFF" w:rsidRPr="004915DE" w:rsidRDefault="00FB6AFF" w:rsidP="00216628">
      <w:pPr>
        <w:pStyle w:val="NormalWeb"/>
        <w:spacing w:line="480" w:lineRule="auto"/>
        <w:ind w:left="567" w:hanging="567"/>
      </w:pPr>
      <w:r>
        <w:lastRenderedPageBreak/>
        <w:t xml:space="preserve">Drug Policy Alliance. (2020). </w:t>
      </w:r>
      <w:r w:rsidR="004915DE">
        <w:rPr>
          <w:i/>
          <w:iCs/>
        </w:rPr>
        <w:t>Supervised consumption services.</w:t>
      </w:r>
      <w:r w:rsidR="004915DE">
        <w:t xml:space="preserve"> Retrieved from </w:t>
      </w:r>
      <w:r w:rsidR="004915DE" w:rsidRPr="004915DE">
        <w:t>https://www.drugpolicy.org/issues/supervised-consumption-services</w:t>
      </w:r>
    </w:p>
    <w:p w14:paraId="25A0CDD1" w14:textId="0B478BD2" w:rsidR="0010333B" w:rsidRPr="00FA5741" w:rsidRDefault="0010333B" w:rsidP="00216628">
      <w:pPr>
        <w:pStyle w:val="NormalWeb"/>
        <w:spacing w:line="480" w:lineRule="auto"/>
        <w:ind w:left="567" w:hanging="567"/>
      </w:pPr>
      <w:r>
        <w:t>Gray, J.R., Grove, S.K., &amp; Sutherland, S. (</w:t>
      </w:r>
      <w:r w:rsidR="00812B7E">
        <w:t xml:space="preserve">2017). </w:t>
      </w:r>
      <w:r w:rsidR="00812B7E">
        <w:rPr>
          <w:i/>
          <w:iCs/>
        </w:rPr>
        <w:t>The practice of nursing research: Appraisal, synthesis, and generation of evidence</w:t>
      </w:r>
      <w:r w:rsidR="00BB3719">
        <w:rPr>
          <w:i/>
          <w:iCs/>
        </w:rPr>
        <w:t xml:space="preserve"> </w:t>
      </w:r>
      <w:r w:rsidR="00BB3719">
        <w:t>(8</w:t>
      </w:r>
      <w:r w:rsidR="00BB3719" w:rsidRPr="00BB3719">
        <w:rPr>
          <w:vertAlign w:val="superscript"/>
        </w:rPr>
        <w:t>th</w:t>
      </w:r>
      <w:r w:rsidR="00BB3719">
        <w:t xml:space="preserve"> ed.)</w:t>
      </w:r>
      <w:r w:rsidR="00FA5741">
        <w:rPr>
          <w:i/>
          <w:iCs/>
        </w:rPr>
        <w:t>.</w:t>
      </w:r>
      <w:r w:rsidR="00FA5741">
        <w:t xml:space="preserve"> St. Louis: Elsevier</w:t>
      </w:r>
      <w:r w:rsidR="00E20221">
        <w:t>.</w:t>
      </w:r>
    </w:p>
    <w:p w14:paraId="53232F64" w14:textId="6F5BFABC" w:rsidR="001E558E" w:rsidRPr="001D3864" w:rsidRDefault="001E558E" w:rsidP="00216628">
      <w:pPr>
        <w:pStyle w:val="NormalWeb"/>
        <w:spacing w:line="480" w:lineRule="auto"/>
        <w:ind w:left="567" w:hanging="567"/>
      </w:pPr>
      <w:proofErr w:type="spellStart"/>
      <w:r>
        <w:t>Goedel</w:t>
      </w:r>
      <w:proofErr w:type="spellEnd"/>
      <w:r>
        <w:t>, W.C.,</w:t>
      </w:r>
      <w:r w:rsidR="00402882">
        <w:t xml:space="preserve"> King, M.R.F., Lurie, M.N., Galea, S., Townsend, J.P., Galvani, A.P., </w:t>
      </w:r>
      <w:proofErr w:type="spellStart"/>
      <w:r w:rsidR="00402882">
        <w:t>Friendman</w:t>
      </w:r>
      <w:proofErr w:type="spellEnd"/>
      <w:r w:rsidR="00402882">
        <w:t>, S.R., &amp; Marshall, B.D.L. (</w:t>
      </w:r>
      <w:r w:rsidR="00B44981">
        <w:t>2020). Implementation of syringe services programs to prevent rapid Human Immunodeficiency Virus transmission in rural counties in the United States: A modeling study</w:t>
      </w:r>
      <w:r w:rsidR="001D3864">
        <w:t xml:space="preserve">. </w:t>
      </w:r>
      <w:r w:rsidR="001D3864">
        <w:rPr>
          <w:i/>
          <w:iCs/>
        </w:rPr>
        <w:t>Clinical Infectious Diseases, 70</w:t>
      </w:r>
      <w:r w:rsidR="001D3864">
        <w:t xml:space="preserve">(6), 1096-1102. </w:t>
      </w:r>
      <w:r w:rsidR="007D640A">
        <w:t>doi:10.1093/</w:t>
      </w:r>
      <w:proofErr w:type="spellStart"/>
      <w:r w:rsidR="007D640A">
        <w:t>cid</w:t>
      </w:r>
      <w:proofErr w:type="spellEnd"/>
      <w:r w:rsidR="007D640A">
        <w:t>/ciz321</w:t>
      </w:r>
    </w:p>
    <w:p w14:paraId="574D136F" w14:textId="220F1611" w:rsidR="007D5E94" w:rsidRPr="007D5E94" w:rsidRDefault="007D5E94" w:rsidP="00216628">
      <w:pPr>
        <w:spacing w:line="480" w:lineRule="auto"/>
        <w:ind w:left="720" w:hanging="720"/>
      </w:pPr>
      <w:r w:rsidRPr="007D5E94">
        <w:t>Health Resources and Services Administration</w:t>
      </w:r>
      <w:r>
        <w:t xml:space="preserve">. (2016) </w:t>
      </w:r>
      <w:r w:rsidRPr="007D5E94">
        <w:rPr>
          <w:i/>
          <w:iCs/>
        </w:rPr>
        <w:t xml:space="preserve">Specific </w:t>
      </w:r>
      <w:r>
        <w:rPr>
          <w:i/>
          <w:iCs/>
        </w:rPr>
        <w:t>i</w:t>
      </w:r>
      <w:r w:rsidRPr="007D5E94">
        <w:rPr>
          <w:i/>
          <w:iCs/>
        </w:rPr>
        <w:t xml:space="preserve">mplementation </w:t>
      </w:r>
      <w:r>
        <w:rPr>
          <w:i/>
          <w:iCs/>
        </w:rPr>
        <w:t>g</w:t>
      </w:r>
      <w:r w:rsidRPr="007D5E94">
        <w:rPr>
          <w:i/>
          <w:iCs/>
        </w:rPr>
        <w:t xml:space="preserve">uidance to </w:t>
      </w:r>
      <w:r>
        <w:rPr>
          <w:i/>
          <w:iCs/>
        </w:rPr>
        <w:t>s</w:t>
      </w:r>
      <w:r w:rsidRPr="007D5E94">
        <w:rPr>
          <w:i/>
          <w:iCs/>
        </w:rPr>
        <w:t xml:space="preserve">upport </w:t>
      </w:r>
      <w:r>
        <w:rPr>
          <w:i/>
          <w:iCs/>
        </w:rPr>
        <w:t>c</w:t>
      </w:r>
      <w:r w:rsidRPr="007D5E94">
        <w:rPr>
          <w:i/>
          <w:iCs/>
        </w:rPr>
        <w:t xml:space="preserve">ertain </w:t>
      </w:r>
      <w:r>
        <w:rPr>
          <w:i/>
          <w:iCs/>
        </w:rPr>
        <w:t>c</w:t>
      </w:r>
      <w:r w:rsidRPr="007D5E94">
        <w:rPr>
          <w:i/>
          <w:iCs/>
        </w:rPr>
        <w:t xml:space="preserve">omponents of </w:t>
      </w:r>
      <w:r>
        <w:rPr>
          <w:i/>
          <w:iCs/>
        </w:rPr>
        <w:t>s</w:t>
      </w:r>
      <w:r w:rsidRPr="007D5E94">
        <w:rPr>
          <w:i/>
          <w:iCs/>
        </w:rPr>
        <w:t xml:space="preserve">yringe </w:t>
      </w:r>
      <w:r>
        <w:rPr>
          <w:i/>
          <w:iCs/>
        </w:rPr>
        <w:t>s</w:t>
      </w:r>
      <w:r w:rsidRPr="007D5E94">
        <w:rPr>
          <w:i/>
          <w:iCs/>
        </w:rPr>
        <w:t xml:space="preserve">ervices </w:t>
      </w:r>
      <w:r>
        <w:rPr>
          <w:i/>
          <w:iCs/>
        </w:rPr>
        <w:t>p</w:t>
      </w:r>
      <w:r w:rsidRPr="007D5E94">
        <w:rPr>
          <w:i/>
          <w:iCs/>
        </w:rPr>
        <w:t>rograms</w:t>
      </w:r>
      <w:r>
        <w:t xml:space="preserve">. Retrieved from </w:t>
      </w:r>
      <w:r w:rsidRPr="007D5E94">
        <w:t>https://www.hiv.gov/sites/default/files/hhs-ssp-hrsa-guidance.pdf</w:t>
      </w:r>
    </w:p>
    <w:p w14:paraId="348999C6" w14:textId="500E7FE3" w:rsidR="00176833" w:rsidRDefault="00812B4A" w:rsidP="00216628">
      <w:pPr>
        <w:spacing w:line="480" w:lineRule="auto"/>
        <w:ind w:left="720" w:hanging="720"/>
      </w:pPr>
      <w:r>
        <w:t>Kim,</w:t>
      </w:r>
      <w:r w:rsidR="00463768">
        <w:t xml:space="preserve"> B.J., &amp; Harley, D.A. (2019). Needle and syring</w:t>
      </w:r>
      <w:r w:rsidR="00216628">
        <w:t>e</w:t>
      </w:r>
      <w:r w:rsidR="00463768">
        <w:t xml:space="preserve"> programs in rural areas: Addressing intra</w:t>
      </w:r>
      <w:r w:rsidR="005276D7">
        <w:t xml:space="preserve">venous drug use epidemic. </w:t>
      </w:r>
      <w:r w:rsidR="005276D7">
        <w:rPr>
          <w:i/>
          <w:iCs/>
        </w:rPr>
        <w:t>Rehabilitation Research, Policy, and Education</w:t>
      </w:r>
      <w:r w:rsidR="009B08AD">
        <w:rPr>
          <w:i/>
          <w:iCs/>
        </w:rPr>
        <w:t>, 33</w:t>
      </w:r>
      <w:r w:rsidR="009B08AD">
        <w:t>(1)</w:t>
      </w:r>
      <w:r w:rsidR="00216628">
        <w:t>,</w:t>
      </w:r>
      <w:r w:rsidR="00A74053">
        <w:t xml:space="preserve"> 56-64. </w:t>
      </w:r>
      <w:hyperlink r:id="rId12" w:history="1">
        <w:r w:rsidR="007C408D" w:rsidRPr="00506F56">
          <w:rPr>
            <w:rStyle w:val="Hyperlink"/>
          </w:rPr>
          <w:t>http://dx.doi.org/10.1891/2168-6653.33.1.56</w:t>
        </w:r>
      </w:hyperlink>
    </w:p>
    <w:p w14:paraId="3685C9B6" w14:textId="06476861" w:rsidR="00BE542D" w:rsidRDefault="00BE542D" w:rsidP="00216628">
      <w:pPr>
        <w:spacing w:line="480" w:lineRule="auto"/>
        <w:ind w:left="720" w:hanging="720"/>
      </w:pPr>
      <w:proofErr w:type="spellStart"/>
      <w:r>
        <w:t>Klin</w:t>
      </w:r>
      <w:r w:rsidR="00081A32">
        <w:t>kenberg</w:t>
      </w:r>
      <w:proofErr w:type="spellEnd"/>
      <w:r w:rsidR="00081A32">
        <w:t xml:space="preserve">, W.D., </w:t>
      </w:r>
      <w:proofErr w:type="spellStart"/>
      <w:r w:rsidR="00081A32">
        <w:t>Caslyn</w:t>
      </w:r>
      <w:proofErr w:type="spellEnd"/>
      <w:r w:rsidR="00081A32">
        <w:t>, R.J.,</w:t>
      </w:r>
      <w:r w:rsidR="0030596A">
        <w:t xml:space="preserve"> Morse, G.A., </w:t>
      </w:r>
      <w:proofErr w:type="spellStart"/>
      <w:r w:rsidR="0030596A">
        <w:t>Yonker</w:t>
      </w:r>
      <w:proofErr w:type="spellEnd"/>
      <w:r w:rsidR="0030596A">
        <w:t xml:space="preserve">, R.D., </w:t>
      </w:r>
      <w:proofErr w:type="spellStart"/>
      <w:r w:rsidR="0030596A">
        <w:t>McCudden</w:t>
      </w:r>
      <w:proofErr w:type="spellEnd"/>
      <w:r w:rsidR="0030596A">
        <w:t xml:space="preserve">, S., </w:t>
      </w:r>
      <w:proofErr w:type="spellStart"/>
      <w:r w:rsidR="0030596A">
        <w:t>Ketema</w:t>
      </w:r>
      <w:proofErr w:type="spellEnd"/>
      <w:r w:rsidR="0039399E">
        <w:t>, F., &amp; Constantine, N.T. (2003). Prevalence</w:t>
      </w:r>
      <w:r w:rsidR="00A2739A">
        <w:t xml:space="preserve"> of Human Immunodeficiency Virus, Hepatitis B, and Hepatitis C among homeless persons with co-occurring severe mental illness and substance use disorders. </w:t>
      </w:r>
      <w:r w:rsidR="006C5AFA">
        <w:rPr>
          <w:i/>
          <w:iCs/>
        </w:rPr>
        <w:t>Comprehensive Psychiatry, 44</w:t>
      </w:r>
      <w:r w:rsidR="006C5AFA">
        <w:t xml:space="preserve">(4), 293-302. </w:t>
      </w:r>
      <w:r w:rsidR="00D02EDF">
        <w:t>doi:10.1016</w:t>
      </w:r>
      <w:r w:rsidR="00E108CD">
        <w:t>/S0010-440</w:t>
      </w:r>
      <w:proofErr w:type="gramStart"/>
      <w:r w:rsidR="00E108CD">
        <w:t>X(</w:t>
      </w:r>
      <w:proofErr w:type="gramEnd"/>
      <w:r w:rsidR="00E108CD">
        <w:t>03)00094-4</w:t>
      </w:r>
    </w:p>
    <w:p w14:paraId="7C7BFA4C" w14:textId="672E7D4A" w:rsidR="00E108CD" w:rsidRDefault="00FB1A73" w:rsidP="00216628">
      <w:pPr>
        <w:spacing w:line="480" w:lineRule="auto"/>
        <w:ind w:left="720" w:hanging="720"/>
      </w:pPr>
      <w:r>
        <w:lastRenderedPageBreak/>
        <w:t xml:space="preserve">Miller-Lloyd, L., Landry, J., </w:t>
      </w:r>
      <w:proofErr w:type="spellStart"/>
      <w:r>
        <w:t>Macmadu</w:t>
      </w:r>
      <w:proofErr w:type="spellEnd"/>
      <w:r>
        <w:t>, A.,</w:t>
      </w:r>
      <w:r w:rsidR="00C53BAF">
        <w:t xml:space="preserve"> Allard, I., &amp; Waxman, M. (2020). Barriers to healthcare for people who inject drugs: A survey at a syringe exchange program</w:t>
      </w:r>
      <w:r w:rsidR="00194A37">
        <w:t xml:space="preserve">. </w:t>
      </w:r>
      <w:r w:rsidR="00194A37">
        <w:rPr>
          <w:i/>
          <w:iCs/>
        </w:rPr>
        <w:t>Substance Use &amp; Misuse</w:t>
      </w:r>
      <w:r w:rsidR="00831E60">
        <w:rPr>
          <w:i/>
          <w:iCs/>
        </w:rPr>
        <w:t>, 55</w:t>
      </w:r>
      <w:r w:rsidR="00831E60">
        <w:t>(6), 896-899</w:t>
      </w:r>
      <w:r w:rsidR="009435DE">
        <w:t xml:space="preserve">. </w:t>
      </w:r>
      <w:r w:rsidR="00F005C3">
        <w:t>doi:</w:t>
      </w:r>
      <w:r w:rsidR="009435DE">
        <w:t>10.1080/108026084.2019.1710207</w:t>
      </w:r>
    </w:p>
    <w:p w14:paraId="3BCF0DCC" w14:textId="4A4DFE2A" w:rsidR="007C408D" w:rsidRDefault="00E07D70" w:rsidP="005C01F3">
      <w:pPr>
        <w:spacing w:line="480" w:lineRule="auto"/>
        <w:ind w:left="720" w:hanging="720"/>
      </w:pPr>
      <w:proofErr w:type="spellStart"/>
      <w:r>
        <w:t>Neaigus</w:t>
      </w:r>
      <w:proofErr w:type="spellEnd"/>
      <w:r>
        <w:t>, A., Zhao</w:t>
      </w:r>
      <w:r w:rsidR="004D694A">
        <w:t xml:space="preserve">, M., </w:t>
      </w:r>
      <w:proofErr w:type="spellStart"/>
      <w:r w:rsidR="004D694A">
        <w:t>Gyarmathy</w:t>
      </w:r>
      <w:proofErr w:type="spellEnd"/>
      <w:r w:rsidR="004D694A">
        <w:t xml:space="preserve">, V.A., </w:t>
      </w:r>
      <w:proofErr w:type="spellStart"/>
      <w:r w:rsidR="004D694A">
        <w:t>Cisek</w:t>
      </w:r>
      <w:proofErr w:type="spellEnd"/>
      <w:r w:rsidR="004D694A">
        <w:t>, L., Friedman, S.R., &amp; Baxter, R.C. (</w:t>
      </w:r>
      <w:r w:rsidR="001117B2">
        <w:t>2008). Greater drug injecting risk for HIV, HBV, and HCV infection in a city where syringe exchange</w:t>
      </w:r>
      <w:r w:rsidR="00BB4EAD">
        <w:t xml:space="preserve"> and pharmacy syringe distribution are illegal. </w:t>
      </w:r>
      <w:r w:rsidR="00BB4EAD">
        <w:rPr>
          <w:i/>
          <w:iCs/>
        </w:rPr>
        <w:t>Journal of Urban Health:</w:t>
      </w:r>
      <w:r w:rsidR="00695529">
        <w:rPr>
          <w:i/>
          <w:iCs/>
        </w:rPr>
        <w:t xml:space="preserve"> Bulletin of the New York Academy of Medicine, 85</w:t>
      </w:r>
      <w:r w:rsidR="00695529">
        <w:t>(3),</w:t>
      </w:r>
      <w:r w:rsidR="009530BD">
        <w:t xml:space="preserve"> 309-322. doi:10.1007/s11524</w:t>
      </w:r>
      <w:r w:rsidR="00F040B9">
        <w:t>-008-9271-1</w:t>
      </w:r>
    </w:p>
    <w:p w14:paraId="2D1C7909" w14:textId="446C2EFF" w:rsidR="00F650FA" w:rsidRPr="00F650FA" w:rsidRDefault="00F650FA" w:rsidP="005C01F3">
      <w:pPr>
        <w:spacing w:line="480" w:lineRule="auto"/>
        <w:ind w:left="720" w:hanging="720"/>
      </w:pPr>
      <w:r>
        <w:t>North American Exchange Program. (202</w:t>
      </w:r>
      <w:r w:rsidR="00761E4C">
        <w:t>2</w:t>
      </w:r>
      <w:r>
        <w:t xml:space="preserve">). </w:t>
      </w:r>
      <w:r>
        <w:rPr>
          <w:i/>
          <w:iCs/>
        </w:rPr>
        <w:t>SEP locations.</w:t>
      </w:r>
      <w:r>
        <w:t xml:space="preserve"> Retrieved from </w:t>
      </w:r>
      <w:r w:rsidR="00282EC0" w:rsidRPr="00282EC0">
        <w:t>https://www.nasen.org/map/</w:t>
      </w:r>
    </w:p>
    <w:p w14:paraId="6B74E14D" w14:textId="3AEBE659" w:rsidR="00BE112C" w:rsidRPr="00AB3BE7" w:rsidRDefault="00BE112C" w:rsidP="005C01F3">
      <w:pPr>
        <w:spacing w:line="480" w:lineRule="auto"/>
        <w:ind w:left="720" w:hanging="720"/>
      </w:pPr>
      <w:r>
        <w:t xml:space="preserve">Nursing Theory. (2020). </w:t>
      </w:r>
      <w:r>
        <w:rPr>
          <w:i/>
          <w:iCs/>
        </w:rPr>
        <w:t>Pender</w:t>
      </w:r>
      <w:r w:rsidR="00BA3500">
        <w:rPr>
          <w:i/>
          <w:iCs/>
        </w:rPr>
        <w:t>’</w:t>
      </w:r>
      <w:r>
        <w:rPr>
          <w:i/>
          <w:iCs/>
        </w:rPr>
        <w:t xml:space="preserve">s </w:t>
      </w:r>
      <w:r w:rsidR="004E6E1D">
        <w:rPr>
          <w:i/>
          <w:iCs/>
        </w:rPr>
        <w:t>H</w:t>
      </w:r>
      <w:r w:rsidR="00AB3BE7">
        <w:rPr>
          <w:i/>
          <w:iCs/>
        </w:rPr>
        <w:t xml:space="preserve">ealth </w:t>
      </w:r>
      <w:r w:rsidR="004E6E1D">
        <w:rPr>
          <w:i/>
          <w:iCs/>
        </w:rPr>
        <w:t>P</w:t>
      </w:r>
      <w:r w:rsidR="00AB3BE7">
        <w:rPr>
          <w:i/>
          <w:iCs/>
        </w:rPr>
        <w:t xml:space="preserve">romotion </w:t>
      </w:r>
      <w:r w:rsidR="004E6E1D">
        <w:rPr>
          <w:i/>
          <w:iCs/>
        </w:rPr>
        <w:t>M</w:t>
      </w:r>
      <w:r w:rsidR="00AB3BE7">
        <w:rPr>
          <w:i/>
          <w:iCs/>
        </w:rPr>
        <w:t>odel.</w:t>
      </w:r>
      <w:r w:rsidR="00AB3BE7">
        <w:t xml:space="preserve"> Retrieved from </w:t>
      </w:r>
      <w:r w:rsidR="00AB3BE7" w:rsidRPr="00AB3BE7">
        <w:t>https://nursing-theory.org/theories-and-models/pender-health-promotion-model.php</w:t>
      </w:r>
    </w:p>
    <w:p w14:paraId="7E0958FE" w14:textId="7A371C82" w:rsidR="005C01F3" w:rsidRPr="005C01F3" w:rsidRDefault="005C01F3" w:rsidP="005C01F3">
      <w:pPr>
        <w:spacing w:line="480" w:lineRule="auto"/>
        <w:ind w:left="720" w:hanging="720"/>
      </w:pPr>
      <w:r w:rsidRPr="005C01F3">
        <w:t>Pollack, H.</w:t>
      </w:r>
      <w:r w:rsidR="006B3D46">
        <w:t>A.</w:t>
      </w:r>
      <w:r w:rsidRPr="005C01F3">
        <w:t xml:space="preserve"> (2001). Cost-effectiveness of </w:t>
      </w:r>
      <w:r>
        <w:t>h</w:t>
      </w:r>
      <w:r w:rsidRPr="005C01F3">
        <w:t xml:space="preserve">arm </w:t>
      </w:r>
      <w:r>
        <w:t>r</w:t>
      </w:r>
      <w:r w:rsidRPr="005C01F3">
        <w:t xml:space="preserve">eduction in </w:t>
      </w:r>
      <w:r>
        <w:t>p</w:t>
      </w:r>
      <w:r w:rsidRPr="005C01F3">
        <w:t xml:space="preserve">reventing Hepatitis C among </w:t>
      </w:r>
      <w:r>
        <w:t>i</w:t>
      </w:r>
      <w:r w:rsidRPr="005C01F3">
        <w:t xml:space="preserve">njection </w:t>
      </w:r>
      <w:r>
        <w:t>d</w:t>
      </w:r>
      <w:r w:rsidRPr="005C01F3">
        <w:t xml:space="preserve">rug </w:t>
      </w:r>
      <w:r>
        <w:t>u</w:t>
      </w:r>
      <w:r w:rsidRPr="005C01F3">
        <w:t xml:space="preserve">sers. </w:t>
      </w:r>
      <w:r w:rsidRPr="005C01F3">
        <w:rPr>
          <w:i/>
          <w:iCs/>
        </w:rPr>
        <w:t>Medical Decision Making</w:t>
      </w:r>
      <w:r w:rsidRPr="005C01F3">
        <w:t xml:space="preserve">, </w:t>
      </w:r>
      <w:r w:rsidRPr="005C01F3">
        <w:rPr>
          <w:i/>
          <w:iCs/>
        </w:rPr>
        <w:t>21</w:t>
      </w:r>
      <w:r w:rsidRPr="005C01F3">
        <w:t xml:space="preserve">(5), 357–365. https://doi.org/10.1177/02729890122062659 </w:t>
      </w:r>
    </w:p>
    <w:p w14:paraId="361D5B06" w14:textId="1B63CB08" w:rsidR="005C01F3" w:rsidRDefault="00153499" w:rsidP="005C01F3">
      <w:pPr>
        <w:spacing w:line="480" w:lineRule="auto"/>
        <w:ind w:left="720" w:hanging="720"/>
      </w:pPr>
      <w:proofErr w:type="spellStart"/>
      <w:r>
        <w:t>Sawa</w:t>
      </w:r>
      <w:r w:rsidR="00A119DA">
        <w:t>ngjit</w:t>
      </w:r>
      <w:proofErr w:type="spellEnd"/>
      <w:r w:rsidR="00A119DA">
        <w:t xml:space="preserve">, R., Khan, T.M., &amp; </w:t>
      </w:r>
      <w:proofErr w:type="spellStart"/>
      <w:r w:rsidR="00A119DA">
        <w:t>Chaiyakunapruk</w:t>
      </w:r>
      <w:proofErr w:type="spellEnd"/>
      <w:r w:rsidR="00A119DA">
        <w:t>, N. (</w:t>
      </w:r>
      <w:r w:rsidR="007C5E30">
        <w:t xml:space="preserve">2016). Effectiveness of pharmacy-based needle/syringe exchange </w:t>
      </w:r>
      <w:proofErr w:type="spellStart"/>
      <w:r w:rsidR="007C5E30">
        <w:t>programme</w:t>
      </w:r>
      <w:proofErr w:type="spellEnd"/>
      <w:r w:rsidR="007C5E30">
        <w:t xml:space="preserve"> for people who inject drugs: A system</w:t>
      </w:r>
      <w:r w:rsidR="00930A17">
        <w:t xml:space="preserve">atic review and meta-analysis. </w:t>
      </w:r>
      <w:r w:rsidR="00930A17">
        <w:rPr>
          <w:i/>
          <w:iCs/>
        </w:rPr>
        <w:t>Addiction, 112</w:t>
      </w:r>
      <w:r w:rsidR="00930A17">
        <w:t>(2)</w:t>
      </w:r>
      <w:r w:rsidR="00391604">
        <w:t>, 236-247. doi:</w:t>
      </w:r>
      <w:r w:rsidR="00391604" w:rsidRPr="00391604">
        <w:t>10.1111/add.13593</w:t>
      </w:r>
    </w:p>
    <w:p w14:paraId="5D4C3725" w14:textId="77777777" w:rsidR="009310C5" w:rsidRDefault="009310C5" w:rsidP="009310C5">
      <w:pPr>
        <w:spacing w:line="480" w:lineRule="auto"/>
        <w:ind w:left="720" w:hanging="720"/>
        <w:rPr>
          <w:rFonts w:eastAsia="Times New Roman" w:cs="Times New Roman"/>
          <w:szCs w:val="24"/>
        </w:rPr>
      </w:pPr>
      <w:r w:rsidRPr="009310C5">
        <w:rPr>
          <w:rFonts w:eastAsia="Times New Roman" w:cs="Times New Roman"/>
          <w:i/>
          <w:iCs/>
          <w:szCs w:val="24"/>
        </w:rPr>
        <w:t xml:space="preserve">Syringe access in your state. </w:t>
      </w:r>
      <w:r w:rsidRPr="009310C5">
        <w:rPr>
          <w:rFonts w:eastAsia="Times New Roman" w:cs="Times New Roman"/>
          <w:szCs w:val="24"/>
        </w:rPr>
        <w:t xml:space="preserve">National Harm Reduction Coalition. (2021). Retrieved from https://harmreduction.org/issues/syringe-access/landscape-report/state-by-state/ </w:t>
      </w:r>
    </w:p>
    <w:p w14:paraId="2944148B" w14:textId="17E8E956" w:rsidR="007F12EA" w:rsidRPr="009310C5" w:rsidRDefault="007F12EA" w:rsidP="009310C5">
      <w:pPr>
        <w:spacing w:line="480" w:lineRule="auto"/>
        <w:ind w:left="720" w:hanging="720"/>
        <w:rPr>
          <w:rFonts w:eastAsia="Times New Roman" w:cs="Times New Roman"/>
          <w:szCs w:val="24"/>
        </w:rPr>
      </w:pPr>
      <w:r>
        <w:lastRenderedPageBreak/>
        <w:t xml:space="preserve">Tennessee Department of Health. (n.d.) </w:t>
      </w:r>
      <w:r>
        <w:rPr>
          <w:i/>
          <w:iCs/>
        </w:rPr>
        <w:t>Syringe services programs (SSPs): FAQs.</w:t>
      </w:r>
      <w:r>
        <w:t xml:space="preserve"> Retrieved from </w:t>
      </w:r>
      <w:r w:rsidRPr="007F12EA">
        <w:t>https://www.tn.gov/health/health-program-areas/std/std/syringe-services-program/ssp-faqs.html</w:t>
      </w:r>
    </w:p>
    <w:p w14:paraId="717DE3DC" w14:textId="1F736706" w:rsidR="00FA3F0E" w:rsidRDefault="00FA3F0E" w:rsidP="005C01F3">
      <w:pPr>
        <w:spacing w:line="480" w:lineRule="auto"/>
        <w:ind w:left="720" w:hanging="720"/>
      </w:pPr>
      <w:r>
        <w:t xml:space="preserve">The University of Tennessee at Chattanooga. (n.d.) </w:t>
      </w:r>
      <w:r w:rsidR="00990932">
        <w:rPr>
          <w:i/>
          <w:iCs/>
        </w:rPr>
        <w:t>Institutional Review Board</w:t>
      </w:r>
      <w:r w:rsidR="00990932">
        <w:t xml:space="preserve">. Retrieved from </w:t>
      </w:r>
      <w:hyperlink r:id="rId13" w:history="1">
        <w:r w:rsidR="0022401E" w:rsidRPr="00E419E6">
          <w:rPr>
            <w:rStyle w:val="Hyperlink"/>
          </w:rPr>
          <w:t>https://new.utc.edu/research/research-integrity/institutional-review-board</w:t>
        </w:r>
      </w:hyperlink>
    </w:p>
    <w:p w14:paraId="309A9457" w14:textId="39C39F57" w:rsidR="0022401E" w:rsidRPr="00E55549" w:rsidRDefault="00B453FF" w:rsidP="005C01F3">
      <w:pPr>
        <w:spacing w:line="480" w:lineRule="auto"/>
        <w:ind w:left="720" w:hanging="720"/>
      </w:pPr>
      <w:r>
        <w:t>Vaughn, L. (2017</w:t>
      </w:r>
      <w:r w:rsidR="00E55549">
        <w:t xml:space="preserve">). </w:t>
      </w:r>
      <w:r w:rsidR="00E55549">
        <w:rPr>
          <w:i/>
          <w:iCs/>
        </w:rPr>
        <w:t>Bioethics: Principles, issues, and cases</w:t>
      </w:r>
      <w:r w:rsidR="00E55549">
        <w:t>.</w:t>
      </w:r>
      <w:r w:rsidR="000F15D9">
        <w:t xml:space="preserve"> </w:t>
      </w:r>
      <w:r w:rsidR="001E33F6">
        <w:t xml:space="preserve">New York, </w:t>
      </w:r>
      <w:r w:rsidR="00E82798">
        <w:t>NY: Oxford University Press</w:t>
      </w:r>
      <w:r w:rsidR="006157F9">
        <w:t>.</w:t>
      </w:r>
    </w:p>
    <w:p w14:paraId="0AACF1DD" w14:textId="61D57536" w:rsidR="007C7D89" w:rsidRPr="00714BB1" w:rsidRDefault="006724E9" w:rsidP="00714BB1">
      <w:pPr>
        <w:spacing w:line="480" w:lineRule="auto"/>
        <w:ind w:left="720" w:hanging="720"/>
      </w:pPr>
      <w:r>
        <w:t>Wenger, L.D., Arreola</w:t>
      </w:r>
      <w:r w:rsidR="00297C01">
        <w:t xml:space="preserve">, S.G., </w:t>
      </w:r>
      <w:r w:rsidR="00AC25B2">
        <w:t>&amp;</w:t>
      </w:r>
      <w:r w:rsidR="001F322F">
        <w:t xml:space="preserve"> </w:t>
      </w:r>
      <w:proofErr w:type="spellStart"/>
      <w:r w:rsidR="00297C01">
        <w:t>Kral</w:t>
      </w:r>
      <w:proofErr w:type="spellEnd"/>
      <w:r w:rsidR="00297C01">
        <w:t>, A.H. (</w:t>
      </w:r>
      <w:r w:rsidR="0050627F">
        <w:t xml:space="preserve">2011). The prospect of implementing a </w:t>
      </w:r>
      <w:r w:rsidR="009D10E7">
        <w:t>S</w:t>
      </w:r>
      <w:r w:rsidR="0050627F">
        <w:t xml:space="preserve">afer </w:t>
      </w:r>
      <w:r w:rsidR="009D10E7">
        <w:t>I</w:t>
      </w:r>
      <w:r w:rsidR="0050627F">
        <w:t xml:space="preserve">njection </w:t>
      </w:r>
      <w:r w:rsidR="009D10E7">
        <w:t>F</w:t>
      </w:r>
      <w:r w:rsidR="0050627F">
        <w:t>acility in San Francisco</w:t>
      </w:r>
      <w:r w:rsidR="009D10E7">
        <w:t>: Perspectives of community stakeholders</w:t>
      </w:r>
      <w:r w:rsidR="003E7995">
        <w:t xml:space="preserve">. </w:t>
      </w:r>
      <w:r w:rsidR="003E7995">
        <w:rPr>
          <w:i/>
          <w:iCs/>
        </w:rPr>
        <w:t xml:space="preserve">International Journal of Drug Policy, </w:t>
      </w:r>
      <w:r w:rsidR="00D4731B">
        <w:rPr>
          <w:i/>
          <w:iCs/>
        </w:rPr>
        <w:t>22</w:t>
      </w:r>
      <w:r w:rsidR="00D4731B">
        <w:t>(3)</w:t>
      </w:r>
      <w:r w:rsidR="004F4C75">
        <w:t xml:space="preserve">, 239-241. </w:t>
      </w:r>
      <w:proofErr w:type="gramStart"/>
      <w:r w:rsidR="004F4C75">
        <w:t>doi:</w:t>
      </w:r>
      <w:r w:rsidR="004F4C75" w:rsidRPr="004F4C75">
        <w:t>10.1016/j.drugpo</w:t>
      </w:r>
      <w:proofErr w:type="gramEnd"/>
      <w:r w:rsidR="004F4C75" w:rsidRPr="004F4C75">
        <w:t>.2011.01.001</w:t>
      </w:r>
    </w:p>
    <w:sectPr w:rsidR="007C7D89" w:rsidRPr="00714BB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CB7D" w14:textId="77777777" w:rsidR="000152F5" w:rsidRDefault="000152F5" w:rsidP="007C7D89">
      <w:pPr>
        <w:spacing w:after="0" w:line="240" w:lineRule="auto"/>
      </w:pPr>
      <w:r>
        <w:separator/>
      </w:r>
    </w:p>
  </w:endnote>
  <w:endnote w:type="continuationSeparator" w:id="0">
    <w:p w14:paraId="337DA981" w14:textId="77777777" w:rsidR="000152F5" w:rsidRDefault="000152F5" w:rsidP="007C7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CFC47" w14:textId="77777777" w:rsidR="007C7D89" w:rsidRDefault="007C7D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5BACE" w14:textId="77777777" w:rsidR="007C7D89" w:rsidRDefault="007C7D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EA538" w14:textId="77777777" w:rsidR="007C7D89" w:rsidRDefault="007C7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27012" w14:textId="77777777" w:rsidR="000152F5" w:rsidRDefault="000152F5" w:rsidP="007C7D89">
      <w:pPr>
        <w:spacing w:after="0" w:line="240" w:lineRule="auto"/>
      </w:pPr>
      <w:r>
        <w:separator/>
      </w:r>
    </w:p>
  </w:footnote>
  <w:footnote w:type="continuationSeparator" w:id="0">
    <w:p w14:paraId="7AFCEAC9" w14:textId="77777777" w:rsidR="000152F5" w:rsidRDefault="000152F5" w:rsidP="007C7D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62FE" w14:textId="77777777" w:rsidR="007C7D89" w:rsidRDefault="007C7D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148457"/>
      <w:docPartObj>
        <w:docPartGallery w:val="Page Numbers (Top of Page)"/>
        <w:docPartUnique/>
      </w:docPartObj>
    </w:sdtPr>
    <w:sdtEndPr>
      <w:rPr>
        <w:noProof/>
      </w:rPr>
    </w:sdtEndPr>
    <w:sdtContent>
      <w:p w14:paraId="1427975F" w14:textId="77777777" w:rsidR="007C7D89" w:rsidRDefault="007C7D8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DE6DCF8" w14:textId="77777777" w:rsidR="007C7D89" w:rsidRDefault="007C7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26FE5" w14:textId="77777777" w:rsidR="007C7D89" w:rsidRDefault="007C7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A102A5"/>
    <w:multiLevelType w:val="hybridMultilevel"/>
    <w:tmpl w:val="ED30C8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0416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QwMQdCMyNjU2NzAyUdpeDU4uLM/DyQAkODWgBzwAwjLQAAAA=="/>
  </w:docVars>
  <w:rsids>
    <w:rsidRoot w:val="007C7D89"/>
    <w:rsid w:val="0000709E"/>
    <w:rsid w:val="00007C26"/>
    <w:rsid w:val="00007D6D"/>
    <w:rsid w:val="00011B40"/>
    <w:rsid w:val="0001200B"/>
    <w:rsid w:val="000152F5"/>
    <w:rsid w:val="00015CCF"/>
    <w:rsid w:val="00020B2C"/>
    <w:rsid w:val="00023029"/>
    <w:rsid w:val="000265CE"/>
    <w:rsid w:val="000276B8"/>
    <w:rsid w:val="00030B07"/>
    <w:rsid w:val="000370C4"/>
    <w:rsid w:val="000374F9"/>
    <w:rsid w:val="000376EF"/>
    <w:rsid w:val="00040EB9"/>
    <w:rsid w:val="0004264F"/>
    <w:rsid w:val="00043D18"/>
    <w:rsid w:val="0004760A"/>
    <w:rsid w:val="000528C4"/>
    <w:rsid w:val="0005373B"/>
    <w:rsid w:val="00055025"/>
    <w:rsid w:val="000571B0"/>
    <w:rsid w:val="000618C1"/>
    <w:rsid w:val="000667E5"/>
    <w:rsid w:val="00072AF2"/>
    <w:rsid w:val="0007356A"/>
    <w:rsid w:val="0007363F"/>
    <w:rsid w:val="000766A4"/>
    <w:rsid w:val="00081A32"/>
    <w:rsid w:val="00083A66"/>
    <w:rsid w:val="000842C8"/>
    <w:rsid w:val="000842ED"/>
    <w:rsid w:val="00086BA8"/>
    <w:rsid w:val="00087173"/>
    <w:rsid w:val="00091E77"/>
    <w:rsid w:val="00092B93"/>
    <w:rsid w:val="00093E2A"/>
    <w:rsid w:val="00094C4F"/>
    <w:rsid w:val="0009533B"/>
    <w:rsid w:val="000A69F8"/>
    <w:rsid w:val="000A7834"/>
    <w:rsid w:val="000A7FCF"/>
    <w:rsid w:val="000B02E9"/>
    <w:rsid w:val="000B2B12"/>
    <w:rsid w:val="000B46DF"/>
    <w:rsid w:val="000B6DAE"/>
    <w:rsid w:val="000B766D"/>
    <w:rsid w:val="000C1412"/>
    <w:rsid w:val="000C52A5"/>
    <w:rsid w:val="000D0002"/>
    <w:rsid w:val="000D0977"/>
    <w:rsid w:val="000D26E8"/>
    <w:rsid w:val="000D4044"/>
    <w:rsid w:val="000D44E3"/>
    <w:rsid w:val="000D4B03"/>
    <w:rsid w:val="000D7A91"/>
    <w:rsid w:val="000E0A35"/>
    <w:rsid w:val="000E1B55"/>
    <w:rsid w:val="000E7E4C"/>
    <w:rsid w:val="000F15D9"/>
    <w:rsid w:val="000F3F57"/>
    <w:rsid w:val="000F4CDA"/>
    <w:rsid w:val="000F55E8"/>
    <w:rsid w:val="000F5E70"/>
    <w:rsid w:val="000F6981"/>
    <w:rsid w:val="001016B7"/>
    <w:rsid w:val="00102594"/>
    <w:rsid w:val="0010333B"/>
    <w:rsid w:val="00105C6A"/>
    <w:rsid w:val="001102D6"/>
    <w:rsid w:val="001117B2"/>
    <w:rsid w:val="001157EE"/>
    <w:rsid w:val="00120C3C"/>
    <w:rsid w:val="001215AA"/>
    <w:rsid w:val="00122C47"/>
    <w:rsid w:val="001254D7"/>
    <w:rsid w:val="001326C2"/>
    <w:rsid w:val="00132961"/>
    <w:rsid w:val="001370EB"/>
    <w:rsid w:val="00140B1C"/>
    <w:rsid w:val="00142462"/>
    <w:rsid w:val="00143613"/>
    <w:rsid w:val="00144D1F"/>
    <w:rsid w:val="00147490"/>
    <w:rsid w:val="00152475"/>
    <w:rsid w:val="00153499"/>
    <w:rsid w:val="00154355"/>
    <w:rsid w:val="00161F58"/>
    <w:rsid w:val="00166269"/>
    <w:rsid w:val="001668BA"/>
    <w:rsid w:val="00170270"/>
    <w:rsid w:val="00174B42"/>
    <w:rsid w:val="00176833"/>
    <w:rsid w:val="00177EB7"/>
    <w:rsid w:val="0019172F"/>
    <w:rsid w:val="00194A37"/>
    <w:rsid w:val="0019535C"/>
    <w:rsid w:val="001A06F2"/>
    <w:rsid w:val="001A1CAD"/>
    <w:rsid w:val="001A402F"/>
    <w:rsid w:val="001A44B4"/>
    <w:rsid w:val="001A44D0"/>
    <w:rsid w:val="001A59FD"/>
    <w:rsid w:val="001B0ACF"/>
    <w:rsid w:val="001B7602"/>
    <w:rsid w:val="001C01C6"/>
    <w:rsid w:val="001C0C3A"/>
    <w:rsid w:val="001C0FDF"/>
    <w:rsid w:val="001C15AB"/>
    <w:rsid w:val="001C1F6F"/>
    <w:rsid w:val="001C799A"/>
    <w:rsid w:val="001D1583"/>
    <w:rsid w:val="001D3864"/>
    <w:rsid w:val="001D3FD0"/>
    <w:rsid w:val="001E0E44"/>
    <w:rsid w:val="001E1984"/>
    <w:rsid w:val="001E2DE6"/>
    <w:rsid w:val="001E33F6"/>
    <w:rsid w:val="001E4230"/>
    <w:rsid w:val="001E558E"/>
    <w:rsid w:val="001F0FE9"/>
    <w:rsid w:val="001F322F"/>
    <w:rsid w:val="00203BD3"/>
    <w:rsid w:val="00210887"/>
    <w:rsid w:val="00211237"/>
    <w:rsid w:val="0021229B"/>
    <w:rsid w:val="00215E9A"/>
    <w:rsid w:val="00216628"/>
    <w:rsid w:val="00221216"/>
    <w:rsid w:val="0022401E"/>
    <w:rsid w:val="002277DC"/>
    <w:rsid w:val="00232475"/>
    <w:rsid w:val="00235469"/>
    <w:rsid w:val="00237646"/>
    <w:rsid w:val="00237E15"/>
    <w:rsid w:val="0024252D"/>
    <w:rsid w:val="00243A6C"/>
    <w:rsid w:val="002500AB"/>
    <w:rsid w:val="00250BD9"/>
    <w:rsid w:val="0025191E"/>
    <w:rsid w:val="00252D02"/>
    <w:rsid w:val="002534AA"/>
    <w:rsid w:val="00253B0D"/>
    <w:rsid w:val="002575A8"/>
    <w:rsid w:val="00261B6F"/>
    <w:rsid w:val="00262C05"/>
    <w:rsid w:val="00265779"/>
    <w:rsid w:val="00267DF5"/>
    <w:rsid w:val="00271C64"/>
    <w:rsid w:val="0027307E"/>
    <w:rsid w:val="0027491C"/>
    <w:rsid w:val="00277FC3"/>
    <w:rsid w:val="00282EC0"/>
    <w:rsid w:val="00283671"/>
    <w:rsid w:val="00283EB6"/>
    <w:rsid w:val="002908A5"/>
    <w:rsid w:val="002917E5"/>
    <w:rsid w:val="00292F3B"/>
    <w:rsid w:val="00293C82"/>
    <w:rsid w:val="002961A4"/>
    <w:rsid w:val="0029738C"/>
    <w:rsid w:val="00297C01"/>
    <w:rsid w:val="002A0209"/>
    <w:rsid w:val="002A08FA"/>
    <w:rsid w:val="002A122C"/>
    <w:rsid w:val="002A20BD"/>
    <w:rsid w:val="002A2FA2"/>
    <w:rsid w:val="002A4B70"/>
    <w:rsid w:val="002B0E11"/>
    <w:rsid w:val="002B0E7E"/>
    <w:rsid w:val="002B25FD"/>
    <w:rsid w:val="002B504A"/>
    <w:rsid w:val="002B6176"/>
    <w:rsid w:val="002C0CA8"/>
    <w:rsid w:val="002C1287"/>
    <w:rsid w:val="002C1CC7"/>
    <w:rsid w:val="002C273A"/>
    <w:rsid w:val="002C3098"/>
    <w:rsid w:val="002C4D94"/>
    <w:rsid w:val="002D3EB0"/>
    <w:rsid w:val="002D6663"/>
    <w:rsid w:val="002E0E38"/>
    <w:rsid w:val="002E25B5"/>
    <w:rsid w:val="002E4F26"/>
    <w:rsid w:val="002E6C0B"/>
    <w:rsid w:val="002F5767"/>
    <w:rsid w:val="002F72F4"/>
    <w:rsid w:val="002F7407"/>
    <w:rsid w:val="0030415D"/>
    <w:rsid w:val="0030596A"/>
    <w:rsid w:val="00307164"/>
    <w:rsid w:val="00316769"/>
    <w:rsid w:val="0032091E"/>
    <w:rsid w:val="0032308D"/>
    <w:rsid w:val="003232D1"/>
    <w:rsid w:val="003313BB"/>
    <w:rsid w:val="00331CF7"/>
    <w:rsid w:val="00332380"/>
    <w:rsid w:val="003359EA"/>
    <w:rsid w:val="00337CB2"/>
    <w:rsid w:val="00342002"/>
    <w:rsid w:val="0034286E"/>
    <w:rsid w:val="00342FBC"/>
    <w:rsid w:val="00344487"/>
    <w:rsid w:val="00351CBE"/>
    <w:rsid w:val="00356B43"/>
    <w:rsid w:val="00357978"/>
    <w:rsid w:val="003624CA"/>
    <w:rsid w:val="003631CB"/>
    <w:rsid w:val="00371F31"/>
    <w:rsid w:val="00373923"/>
    <w:rsid w:val="00391604"/>
    <w:rsid w:val="0039399E"/>
    <w:rsid w:val="003A07D4"/>
    <w:rsid w:val="003A0C23"/>
    <w:rsid w:val="003A145B"/>
    <w:rsid w:val="003A4EC7"/>
    <w:rsid w:val="003A5328"/>
    <w:rsid w:val="003A683A"/>
    <w:rsid w:val="003A6939"/>
    <w:rsid w:val="003A70BC"/>
    <w:rsid w:val="003B26C1"/>
    <w:rsid w:val="003C2E46"/>
    <w:rsid w:val="003D2A5F"/>
    <w:rsid w:val="003D43A5"/>
    <w:rsid w:val="003D7CD9"/>
    <w:rsid w:val="003E2AB9"/>
    <w:rsid w:val="003E3804"/>
    <w:rsid w:val="003E396A"/>
    <w:rsid w:val="003E5CDC"/>
    <w:rsid w:val="003E631A"/>
    <w:rsid w:val="003E6E2F"/>
    <w:rsid w:val="003E7995"/>
    <w:rsid w:val="003F5504"/>
    <w:rsid w:val="00401217"/>
    <w:rsid w:val="00402882"/>
    <w:rsid w:val="0040701B"/>
    <w:rsid w:val="0040762A"/>
    <w:rsid w:val="00407F46"/>
    <w:rsid w:val="00411317"/>
    <w:rsid w:val="0041259E"/>
    <w:rsid w:val="00413EB4"/>
    <w:rsid w:val="00416AAA"/>
    <w:rsid w:val="004200C2"/>
    <w:rsid w:val="0042052D"/>
    <w:rsid w:val="00421141"/>
    <w:rsid w:val="00422393"/>
    <w:rsid w:val="00427916"/>
    <w:rsid w:val="00431F2F"/>
    <w:rsid w:val="00432661"/>
    <w:rsid w:val="00433D37"/>
    <w:rsid w:val="00434E22"/>
    <w:rsid w:val="00437E1F"/>
    <w:rsid w:val="00440586"/>
    <w:rsid w:val="00441B91"/>
    <w:rsid w:val="0044234F"/>
    <w:rsid w:val="00445069"/>
    <w:rsid w:val="00447978"/>
    <w:rsid w:val="0045288A"/>
    <w:rsid w:val="004548F0"/>
    <w:rsid w:val="00454B16"/>
    <w:rsid w:val="0046139B"/>
    <w:rsid w:val="00463768"/>
    <w:rsid w:val="00465559"/>
    <w:rsid w:val="00466C00"/>
    <w:rsid w:val="004670C9"/>
    <w:rsid w:val="00472A57"/>
    <w:rsid w:val="00477751"/>
    <w:rsid w:val="004810CE"/>
    <w:rsid w:val="0048265C"/>
    <w:rsid w:val="00485658"/>
    <w:rsid w:val="004915DE"/>
    <w:rsid w:val="004920D5"/>
    <w:rsid w:val="00497837"/>
    <w:rsid w:val="004A5B51"/>
    <w:rsid w:val="004B4254"/>
    <w:rsid w:val="004B7E06"/>
    <w:rsid w:val="004D694A"/>
    <w:rsid w:val="004D7658"/>
    <w:rsid w:val="004E0E6F"/>
    <w:rsid w:val="004E6290"/>
    <w:rsid w:val="004E6B0A"/>
    <w:rsid w:val="004E6C9A"/>
    <w:rsid w:val="004E6E1D"/>
    <w:rsid w:val="004F174C"/>
    <w:rsid w:val="004F449B"/>
    <w:rsid w:val="004F4C75"/>
    <w:rsid w:val="004F5D31"/>
    <w:rsid w:val="00503A8E"/>
    <w:rsid w:val="00503F34"/>
    <w:rsid w:val="00504E47"/>
    <w:rsid w:val="00505234"/>
    <w:rsid w:val="00505D50"/>
    <w:rsid w:val="0050627F"/>
    <w:rsid w:val="00510207"/>
    <w:rsid w:val="005109CC"/>
    <w:rsid w:val="00511E6F"/>
    <w:rsid w:val="00511EC9"/>
    <w:rsid w:val="00512545"/>
    <w:rsid w:val="005147F5"/>
    <w:rsid w:val="00515956"/>
    <w:rsid w:val="005173A4"/>
    <w:rsid w:val="005174E3"/>
    <w:rsid w:val="00523224"/>
    <w:rsid w:val="00524C79"/>
    <w:rsid w:val="005264E2"/>
    <w:rsid w:val="005276D7"/>
    <w:rsid w:val="00533B52"/>
    <w:rsid w:val="005358F2"/>
    <w:rsid w:val="0053735A"/>
    <w:rsid w:val="00541496"/>
    <w:rsid w:val="00542731"/>
    <w:rsid w:val="00553AB7"/>
    <w:rsid w:val="0055470E"/>
    <w:rsid w:val="00555AFA"/>
    <w:rsid w:val="005601DF"/>
    <w:rsid w:val="00560430"/>
    <w:rsid w:val="0056257B"/>
    <w:rsid w:val="00562A94"/>
    <w:rsid w:val="00562AC4"/>
    <w:rsid w:val="005700DE"/>
    <w:rsid w:val="005708B4"/>
    <w:rsid w:val="00575228"/>
    <w:rsid w:val="00575918"/>
    <w:rsid w:val="00576B31"/>
    <w:rsid w:val="0058365D"/>
    <w:rsid w:val="00584F76"/>
    <w:rsid w:val="00585A56"/>
    <w:rsid w:val="00590A01"/>
    <w:rsid w:val="00593F4C"/>
    <w:rsid w:val="00595924"/>
    <w:rsid w:val="005A0952"/>
    <w:rsid w:val="005A0CE3"/>
    <w:rsid w:val="005A1B46"/>
    <w:rsid w:val="005A36A7"/>
    <w:rsid w:val="005A3DAB"/>
    <w:rsid w:val="005A487F"/>
    <w:rsid w:val="005A6D61"/>
    <w:rsid w:val="005B1788"/>
    <w:rsid w:val="005B3286"/>
    <w:rsid w:val="005B4FB6"/>
    <w:rsid w:val="005B5410"/>
    <w:rsid w:val="005B5DF7"/>
    <w:rsid w:val="005C01F3"/>
    <w:rsid w:val="005C0411"/>
    <w:rsid w:val="005C3D29"/>
    <w:rsid w:val="005D05DC"/>
    <w:rsid w:val="005D5EB7"/>
    <w:rsid w:val="005D6CC3"/>
    <w:rsid w:val="005D6EC3"/>
    <w:rsid w:val="005E0700"/>
    <w:rsid w:val="005E5DCB"/>
    <w:rsid w:val="005F4B78"/>
    <w:rsid w:val="0061152A"/>
    <w:rsid w:val="00613DCC"/>
    <w:rsid w:val="006157F9"/>
    <w:rsid w:val="0062189F"/>
    <w:rsid w:val="00624A37"/>
    <w:rsid w:val="006279E6"/>
    <w:rsid w:val="006420C7"/>
    <w:rsid w:val="006439D4"/>
    <w:rsid w:val="00643BAE"/>
    <w:rsid w:val="00643D18"/>
    <w:rsid w:val="00650CE9"/>
    <w:rsid w:val="006516DD"/>
    <w:rsid w:val="0065213B"/>
    <w:rsid w:val="0065727A"/>
    <w:rsid w:val="00661FEE"/>
    <w:rsid w:val="006671B6"/>
    <w:rsid w:val="006724E9"/>
    <w:rsid w:val="00674C83"/>
    <w:rsid w:val="0067590E"/>
    <w:rsid w:val="006773C0"/>
    <w:rsid w:val="00682E88"/>
    <w:rsid w:val="006837AB"/>
    <w:rsid w:val="006853C5"/>
    <w:rsid w:val="00694FC5"/>
    <w:rsid w:val="00695529"/>
    <w:rsid w:val="006B3D46"/>
    <w:rsid w:val="006B6AB8"/>
    <w:rsid w:val="006C342F"/>
    <w:rsid w:val="006C557C"/>
    <w:rsid w:val="006C5AFA"/>
    <w:rsid w:val="006C6120"/>
    <w:rsid w:val="006C7ED0"/>
    <w:rsid w:val="006D224E"/>
    <w:rsid w:val="006D35B9"/>
    <w:rsid w:val="006D3FA9"/>
    <w:rsid w:val="006E4064"/>
    <w:rsid w:val="007013DB"/>
    <w:rsid w:val="00702F6E"/>
    <w:rsid w:val="0070594E"/>
    <w:rsid w:val="00714BB1"/>
    <w:rsid w:val="007155EA"/>
    <w:rsid w:val="007158D4"/>
    <w:rsid w:val="00715C25"/>
    <w:rsid w:val="00727660"/>
    <w:rsid w:val="00727E6D"/>
    <w:rsid w:val="00727F9C"/>
    <w:rsid w:val="00731E56"/>
    <w:rsid w:val="00732283"/>
    <w:rsid w:val="007375ED"/>
    <w:rsid w:val="00740D81"/>
    <w:rsid w:val="0074329D"/>
    <w:rsid w:val="0074376E"/>
    <w:rsid w:val="00745594"/>
    <w:rsid w:val="00752FA9"/>
    <w:rsid w:val="007557A0"/>
    <w:rsid w:val="0075691A"/>
    <w:rsid w:val="00760549"/>
    <w:rsid w:val="007618C5"/>
    <w:rsid w:val="00761E4C"/>
    <w:rsid w:val="007622FD"/>
    <w:rsid w:val="00764223"/>
    <w:rsid w:val="00764D89"/>
    <w:rsid w:val="00764F36"/>
    <w:rsid w:val="00780C4C"/>
    <w:rsid w:val="00781540"/>
    <w:rsid w:val="007830AE"/>
    <w:rsid w:val="00785335"/>
    <w:rsid w:val="0079004B"/>
    <w:rsid w:val="00792025"/>
    <w:rsid w:val="00792B2B"/>
    <w:rsid w:val="007938FC"/>
    <w:rsid w:val="00793CE8"/>
    <w:rsid w:val="00794A9F"/>
    <w:rsid w:val="0079653E"/>
    <w:rsid w:val="007A06E1"/>
    <w:rsid w:val="007A1CBE"/>
    <w:rsid w:val="007A3416"/>
    <w:rsid w:val="007B0AC7"/>
    <w:rsid w:val="007B12A5"/>
    <w:rsid w:val="007B267F"/>
    <w:rsid w:val="007B3F7B"/>
    <w:rsid w:val="007B7035"/>
    <w:rsid w:val="007C2EFC"/>
    <w:rsid w:val="007C408D"/>
    <w:rsid w:val="007C4466"/>
    <w:rsid w:val="007C46BE"/>
    <w:rsid w:val="007C5E30"/>
    <w:rsid w:val="007C604D"/>
    <w:rsid w:val="007C6FE4"/>
    <w:rsid w:val="007C7D89"/>
    <w:rsid w:val="007D031C"/>
    <w:rsid w:val="007D563A"/>
    <w:rsid w:val="007D5E94"/>
    <w:rsid w:val="007D640A"/>
    <w:rsid w:val="007E08AD"/>
    <w:rsid w:val="007E4118"/>
    <w:rsid w:val="007F12EA"/>
    <w:rsid w:val="007F2D1E"/>
    <w:rsid w:val="007F3117"/>
    <w:rsid w:val="007F500F"/>
    <w:rsid w:val="007F50DE"/>
    <w:rsid w:val="00803578"/>
    <w:rsid w:val="00803D28"/>
    <w:rsid w:val="00806D94"/>
    <w:rsid w:val="00810CF2"/>
    <w:rsid w:val="00812B4A"/>
    <w:rsid w:val="00812B7E"/>
    <w:rsid w:val="008166B5"/>
    <w:rsid w:val="00816775"/>
    <w:rsid w:val="00822860"/>
    <w:rsid w:val="00825B45"/>
    <w:rsid w:val="008266DD"/>
    <w:rsid w:val="008271EE"/>
    <w:rsid w:val="00831E60"/>
    <w:rsid w:val="0084122B"/>
    <w:rsid w:val="00841319"/>
    <w:rsid w:val="008420F6"/>
    <w:rsid w:val="00842477"/>
    <w:rsid w:val="00843A19"/>
    <w:rsid w:val="00843C69"/>
    <w:rsid w:val="00844AA1"/>
    <w:rsid w:val="00851735"/>
    <w:rsid w:val="00851F3D"/>
    <w:rsid w:val="008566A9"/>
    <w:rsid w:val="00861823"/>
    <w:rsid w:val="00864EEB"/>
    <w:rsid w:val="0086694A"/>
    <w:rsid w:val="00874870"/>
    <w:rsid w:val="00882CE8"/>
    <w:rsid w:val="00884DC8"/>
    <w:rsid w:val="00891247"/>
    <w:rsid w:val="008913C4"/>
    <w:rsid w:val="00891FC7"/>
    <w:rsid w:val="00893254"/>
    <w:rsid w:val="00895BE8"/>
    <w:rsid w:val="008A19B0"/>
    <w:rsid w:val="008B31F4"/>
    <w:rsid w:val="008C074A"/>
    <w:rsid w:val="008C4A05"/>
    <w:rsid w:val="008C7EA0"/>
    <w:rsid w:val="008D1176"/>
    <w:rsid w:val="008D35A7"/>
    <w:rsid w:val="008D5F47"/>
    <w:rsid w:val="008D7207"/>
    <w:rsid w:val="008E12D6"/>
    <w:rsid w:val="008E3197"/>
    <w:rsid w:val="008E3404"/>
    <w:rsid w:val="008E392F"/>
    <w:rsid w:val="008E4537"/>
    <w:rsid w:val="008F11F3"/>
    <w:rsid w:val="008F1DCD"/>
    <w:rsid w:val="008F219A"/>
    <w:rsid w:val="008F7C6B"/>
    <w:rsid w:val="009038D6"/>
    <w:rsid w:val="00904C50"/>
    <w:rsid w:val="00923654"/>
    <w:rsid w:val="00923E6C"/>
    <w:rsid w:val="009258FD"/>
    <w:rsid w:val="00930332"/>
    <w:rsid w:val="00930A17"/>
    <w:rsid w:val="009310C5"/>
    <w:rsid w:val="00932422"/>
    <w:rsid w:val="0094087C"/>
    <w:rsid w:val="009435DE"/>
    <w:rsid w:val="00945F39"/>
    <w:rsid w:val="00945FF2"/>
    <w:rsid w:val="00946558"/>
    <w:rsid w:val="009511A8"/>
    <w:rsid w:val="009530BD"/>
    <w:rsid w:val="00953CD1"/>
    <w:rsid w:val="00960F92"/>
    <w:rsid w:val="00961BE8"/>
    <w:rsid w:val="00962C98"/>
    <w:rsid w:val="00963663"/>
    <w:rsid w:val="00963D49"/>
    <w:rsid w:val="0097145E"/>
    <w:rsid w:val="00972C3D"/>
    <w:rsid w:val="00974292"/>
    <w:rsid w:val="00975658"/>
    <w:rsid w:val="00976D90"/>
    <w:rsid w:val="0097737C"/>
    <w:rsid w:val="00982CE9"/>
    <w:rsid w:val="00983210"/>
    <w:rsid w:val="00983E2E"/>
    <w:rsid w:val="009858E7"/>
    <w:rsid w:val="00990932"/>
    <w:rsid w:val="00991050"/>
    <w:rsid w:val="00991FC4"/>
    <w:rsid w:val="00992895"/>
    <w:rsid w:val="00993F83"/>
    <w:rsid w:val="0099452B"/>
    <w:rsid w:val="009A1AAC"/>
    <w:rsid w:val="009A3935"/>
    <w:rsid w:val="009B08AD"/>
    <w:rsid w:val="009B0A4A"/>
    <w:rsid w:val="009B2D0B"/>
    <w:rsid w:val="009B474F"/>
    <w:rsid w:val="009B7E20"/>
    <w:rsid w:val="009C0572"/>
    <w:rsid w:val="009C379E"/>
    <w:rsid w:val="009C4D97"/>
    <w:rsid w:val="009C7D88"/>
    <w:rsid w:val="009D04EF"/>
    <w:rsid w:val="009D10E7"/>
    <w:rsid w:val="009D2D08"/>
    <w:rsid w:val="009D5DF8"/>
    <w:rsid w:val="009D5F78"/>
    <w:rsid w:val="009D7D3E"/>
    <w:rsid w:val="009E1E9C"/>
    <w:rsid w:val="009E7058"/>
    <w:rsid w:val="009F0A0D"/>
    <w:rsid w:val="009F137B"/>
    <w:rsid w:val="009F2AEF"/>
    <w:rsid w:val="009F33BB"/>
    <w:rsid w:val="009F3714"/>
    <w:rsid w:val="009F5C99"/>
    <w:rsid w:val="009F7B4E"/>
    <w:rsid w:val="00A011CB"/>
    <w:rsid w:val="00A04960"/>
    <w:rsid w:val="00A04AC6"/>
    <w:rsid w:val="00A05087"/>
    <w:rsid w:val="00A104E3"/>
    <w:rsid w:val="00A119DA"/>
    <w:rsid w:val="00A152CF"/>
    <w:rsid w:val="00A2012F"/>
    <w:rsid w:val="00A212B4"/>
    <w:rsid w:val="00A21F65"/>
    <w:rsid w:val="00A23F26"/>
    <w:rsid w:val="00A2406E"/>
    <w:rsid w:val="00A24D6C"/>
    <w:rsid w:val="00A26A64"/>
    <w:rsid w:val="00A2739A"/>
    <w:rsid w:val="00A32771"/>
    <w:rsid w:val="00A32DC5"/>
    <w:rsid w:val="00A33240"/>
    <w:rsid w:val="00A33B1E"/>
    <w:rsid w:val="00A37BF2"/>
    <w:rsid w:val="00A41484"/>
    <w:rsid w:val="00A44654"/>
    <w:rsid w:val="00A45010"/>
    <w:rsid w:val="00A45A2C"/>
    <w:rsid w:val="00A50F4B"/>
    <w:rsid w:val="00A54AC0"/>
    <w:rsid w:val="00A55D89"/>
    <w:rsid w:val="00A70C0F"/>
    <w:rsid w:val="00A74053"/>
    <w:rsid w:val="00A77ACE"/>
    <w:rsid w:val="00A82193"/>
    <w:rsid w:val="00A822E7"/>
    <w:rsid w:val="00A87A54"/>
    <w:rsid w:val="00A90C54"/>
    <w:rsid w:val="00A94EAA"/>
    <w:rsid w:val="00A97955"/>
    <w:rsid w:val="00AA053A"/>
    <w:rsid w:val="00AB0E26"/>
    <w:rsid w:val="00AB219A"/>
    <w:rsid w:val="00AB358C"/>
    <w:rsid w:val="00AB3BE7"/>
    <w:rsid w:val="00AB4EFA"/>
    <w:rsid w:val="00AB5ED7"/>
    <w:rsid w:val="00AC0118"/>
    <w:rsid w:val="00AC2487"/>
    <w:rsid w:val="00AC25B2"/>
    <w:rsid w:val="00AC417A"/>
    <w:rsid w:val="00AC49E0"/>
    <w:rsid w:val="00AC4C8F"/>
    <w:rsid w:val="00AC7147"/>
    <w:rsid w:val="00AC785B"/>
    <w:rsid w:val="00AD2CBE"/>
    <w:rsid w:val="00AD41B6"/>
    <w:rsid w:val="00AD434B"/>
    <w:rsid w:val="00AD44C0"/>
    <w:rsid w:val="00AD7F8D"/>
    <w:rsid w:val="00AE3E81"/>
    <w:rsid w:val="00AE4DD0"/>
    <w:rsid w:val="00AE5049"/>
    <w:rsid w:val="00AF49EF"/>
    <w:rsid w:val="00B009AF"/>
    <w:rsid w:val="00B00BE6"/>
    <w:rsid w:val="00B06A0D"/>
    <w:rsid w:val="00B141AF"/>
    <w:rsid w:val="00B20D49"/>
    <w:rsid w:val="00B23C2A"/>
    <w:rsid w:val="00B25CDA"/>
    <w:rsid w:val="00B2616E"/>
    <w:rsid w:val="00B30C19"/>
    <w:rsid w:val="00B34769"/>
    <w:rsid w:val="00B36573"/>
    <w:rsid w:val="00B3668F"/>
    <w:rsid w:val="00B36E7A"/>
    <w:rsid w:val="00B37B7A"/>
    <w:rsid w:val="00B37C9D"/>
    <w:rsid w:val="00B415BF"/>
    <w:rsid w:val="00B44981"/>
    <w:rsid w:val="00B44F6D"/>
    <w:rsid w:val="00B453FF"/>
    <w:rsid w:val="00B4651F"/>
    <w:rsid w:val="00B476C6"/>
    <w:rsid w:val="00B5098B"/>
    <w:rsid w:val="00B53F40"/>
    <w:rsid w:val="00B55040"/>
    <w:rsid w:val="00B55E6E"/>
    <w:rsid w:val="00B56E27"/>
    <w:rsid w:val="00B578AA"/>
    <w:rsid w:val="00B6038A"/>
    <w:rsid w:val="00B66869"/>
    <w:rsid w:val="00B67F64"/>
    <w:rsid w:val="00B72563"/>
    <w:rsid w:val="00B81090"/>
    <w:rsid w:val="00B843CB"/>
    <w:rsid w:val="00B8634B"/>
    <w:rsid w:val="00B87635"/>
    <w:rsid w:val="00B923C1"/>
    <w:rsid w:val="00B96899"/>
    <w:rsid w:val="00BA2073"/>
    <w:rsid w:val="00BA27E1"/>
    <w:rsid w:val="00BA3500"/>
    <w:rsid w:val="00BB3157"/>
    <w:rsid w:val="00BB3719"/>
    <w:rsid w:val="00BB3FDC"/>
    <w:rsid w:val="00BB408D"/>
    <w:rsid w:val="00BB4EAD"/>
    <w:rsid w:val="00BB5E15"/>
    <w:rsid w:val="00BD1A69"/>
    <w:rsid w:val="00BD2AAA"/>
    <w:rsid w:val="00BD4F6D"/>
    <w:rsid w:val="00BD69C1"/>
    <w:rsid w:val="00BE112C"/>
    <w:rsid w:val="00BE38CE"/>
    <w:rsid w:val="00BE42DE"/>
    <w:rsid w:val="00BE4450"/>
    <w:rsid w:val="00BE4B44"/>
    <w:rsid w:val="00BE542D"/>
    <w:rsid w:val="00BE717E"/>
    <w:rsid w:val="00BF0A74"/>
    <w:rsid w:val="00BF24A4"/>
    <w:rsid w:val="00BF3F81"/>
    <w:rsid w:val="00BF5390"/>
    <w:rsid w:val="00C01712"/>
    <w:rsid w:val="00C03EBE"/>
    <w:rsid w:val="00C045C8"/>
    <w:rsid w:val="00C0757A"/>
    <w:rsid w:val="00C149E2"/>
    <w:rsid w:val="00C15DA4"/>
    <w:rsid w:val="00C24F9B"/>
    <w:rsid w:val="00C25700"/>
    <w:rsid w:val="00C27377"/>
    <w:rsid w:val="00C32F6B"/>
    <w:rsid w:val="00C3528B"/>
    <w:rsid w:val="00C407E4"/>
    <w:rsid w:val="00C44E27"/>
    <w:rsid w:val="00C47FB5"/>
    <w:rsid w:val="00C50886"/>
    <w:rsid w:val="00C53BAF"/>
    <w:rsid w:val="00C57D01"/>
    <w:rsid w:val="00C61E3F"/>
    <w:rsid w:val="00C62274"/>
    <w:rsid w:val="00C643B0"/>
    <w:rsid w:val="00C65093"/>
    <w:rsid w:val="00C65231"/>
    <w:rsid w:val="00C65A11"/>
    <w:rsid w:val="00C67C00"/>
    <w:rsid w:val="00C71EF6"/>
    <w:rsid w:val="00C75D2F"/>
    <w:rsid w:val="00C767CB"/>
    <w:rsid w:val="00C81172"/>
    <w:rsid w:val="00C8452E"/>
    <w:rsid w:val="00C84629"/>
    <w:rsid w:val="00C85913"/>
    <w:rsid w:val="00C85A1E"/>
    <w:rsid w:val="00C94B72"/>
    <w:rsid w:val="00C9658B"/>
    <w:rsid w:val="00C9739E"/>
    <w:rsid w:val="00CA285C"/>
    <w:rsid w:val="00CA3850"/>
    <w:rsid w:val="00CA3F7A"/>
    <w:rsid w:val="00CA6C72"/>
    <w:rsid w:val="00CB19F5"/>
    <w:rsid w:val="00CB47EE"/>
    <w:rsid w:val="00CB5BC7"/>
    <w:rsid w:val="00CB6184"/>
    <w:rsid w:val="00CC500A"/>
    <w:rsid w:val="00CC53BD"/>
    <w:rsid w:val="00CC6A06"/>
    <w:rsid w:val="00CD2158"/>
    <w:rsid w:val="00CD3746"/>
    <w:rsid w:val="00CD5F59"/>
    <w:rsid w:val="00CD71FE"/>
    <w:rsid w:val="00CE2AF5"/>
    <w:rsid w:val="00CE2DF1"/>
    <w:rsid w:val="00CE3AA4"/>
    <w:rsid w:val="00CE5F40"/>
    <w:rsid w:val="00CE6944"/>
    <w:rsid w:val="00CF24F8"/>
    <w:rsid w:val="00CF26F1"/>
    <w:rsid w:val="00CF47AB"/>
    <w:rsid w:val="00D02EDF"/>
    <w:rsid w:val="00D21018"/>
    <w:rsid w:val="00D2116C"/>
    <w:rsid w:val="00D211B8"/>
    <w:rsid w:val="00D21BDE"/>
    <w:rsid w:val="00D22CCB"/>
    <w:rsid w:val="00D238A9"/>
    <w:rsid w:val="00D24009"/>
    <w:rsid w:val="00D30D16"/>
    <w:rsid w:val="00D31832"/>
    <w:rsid w:val="00D31CD6"/>
    <w:rsid w:val="00D32E72"/>
    <w:rsid w:val="00D33B18"/>
    <w:rsid w:val="00D35582"/>
    <w:rsid w:val="00D4293B"/>
    <w:rsid w:val="00D4731B"/>
    <w:rsid w:val="00D50213"/>
    <w:rsid w:val="00D504EF"/>
    <w:rsid w:val="00D522BC"/>
    <w:rsid w:val="00D54FD3"/>
    <w:rsid w:val="00D6026F"/>
    <w:rsid w:val="00D6620E"/>
    <w:rsid w:val="00D71306"/>
    <w:rsid w:val="00D74892"/>
    <w:rsid w:val="00D74CFC"/>
    <w:rsid w:val="00D75E61"/>
    <w:rsid w:val="00D77F62"/>
    <w:rsid w:val="00D803B3"/>
    <w:rsid w:val="00D81814"/>
    <w:rsid w:val="00D81A6E"/>
    <w:rsid w:val="00D8540B"/>
    <w:rsid w:val="00D857C7"/>
    <w:rsid w:val="00D878F9"/>
    <w:rsid w:val="00D925FC"/>
    <w:rsid w:val="00D93943"/>
    <w:rsid w:val="00D95AF8"/>
    <w:rsid w:val="00D96B2E"/>
    <w:rsid w:val="00DA03DE"/>
    <w:rsid w:val="00DB0449"/>
    <w:rsid w:val="00DB44E6"/>
    <w:rsid w:val="00DB4CB5"/>
    <w:rsid w:val="00DB58E3"/>
    <w:rsid w:val="00DB6023"/>
    <w:rsid w:val="00DB7D4F"/>
    <w:rsid w:val="00DC1DF2"/>
    <w:rsid w:val="00DC3822"/>
    <w:rsid w:val="00DC5D8F"/>
    <w:rsid w:val="00DC6D38"/>
    <w:rsid w:val="00DD382C"/>
    <w:rsid w:val="00DE03B7"/>
    <w:rsid w:val="00DE7BAF"/>
    <w:rsid w:val="00DF225C"/>
    <w:rsid w:val="00DF2597"/>
    <w:rsid w:val="00DF7257"/>
    <w:rsid w:val="00E01E8D"/>
    <w:rsid w:val="00E043D1"/>
    <w:rsid w:val="00E04A5B"/>
    <w:rsid w:val="00E06598"/>
    <w:rsid w:val="00E07D70"/>
    <w:rsid w:val="00E07DC4"/>
    <w:rsid w:val="00E108CD"/>
    <w:rsid w:val="00E10915"/>
    <w:rsid w:val="00E11273"/>
    <w:rsid w:val="00E116F3"/>
    <w:rsid w:val="00E1641A"/>
    <w:rsid w:val="00E20221"/>
    <w:rsid w:val="00E236F8"/>
    <w:rsid w:val="00E24901"/>
    <w:rsid w:val="00E25C4B"/>
    <w:rsid w:val="00E26702"/>
    <w:rsid w:val="00E2680E"/>
    <w:rsid w:val="00E355B1"/>
    <w:rsid w:val="00E367BE"/>
    <w:rsid w:val="00E42880"/>
    <w:rsid w:val="00E44352"/>
    <w:rsid w:val="00E451BB"/>
    <w:rsid w:val="00E465A7"/>
    <w:rsid w:val="00E46E82"/>
    <w:rsid w:val="00E52709"/>
    <w:rsid w:val="00E55549"/>
    <w:rsid w:val="00E56E80"/>
    <w:rsid w:val="00E618A0"/>
    <w:rsid w:val="00E62001"/>
    <w:rsid w:val="00E676AA"/>
    <w:rsid w:val="00E702C5"/>
    <w:rsid w:val="00E70693"/>
    <w:rsid w:val="00E70793"/>
    <w:rsid w:val="00E70A06"/>
    <w:rsid w:val="00E70FE8"/>
    <w:rsid w:val="00E74BBB"/>
    <w:rsid w:val="00E8096E"/>
    <w:rsid w:val="00E81EE4"/>
    <w:rsid w:val="00E82798"/>
    <w:rsid w:val="00E847F2"/>
    <w:rsid w:val="00E910AA"/>
    <w:rsid w:val="00E92065"/>
    <w:rsid w:val="00E927B4"/>
    <w:rsid w:val="00E94A0D"/>
    <w:rsid w:val="00EA03B3"/>
    <w:rsid w:val="00EA2327"/>
    <w:rsid w:val="00EA46E5"/>
    <w:rsid w:val="00EB0B9E"/>
    <w:rsid w:val="00EB1600"/>
    <w:rsid w:val="00EB1DAF"/>
    <w:rsid w:val="00EB217B"/>
    <w:rsid w:val="00EB3D06"/>
    <w:rsid w:val="00EB3FE3"/>
    <w:rsid w:val="00EB445B"/>
    <w:rsid w:val="00EB4A71"/>
    <w:rsid w:val="00EC219D"/>
    <w:rsid w:val="00EC29A9"/>
    <w:rsid w:val="00EC35CB"/>
    <w:rsid w:val="00EC3ED2"/>
    <w:rsid w:val="00EC7E83"/>
    <w:rsid w:val="00ED1190"/>
    <w:rsid w:val="00ED3DA5"/>
    <w:rsid w:val="00ED4F15"/>
    <w:rsid w:val="00EE1460"/>
    <w:rsid w:val="00EE2F80"/>
    <w:rsid w:val="00EE3BFF"/>
    <w:rsid w:val="00EF28F4"/>
    <w:rsid w:val="00EF35C0"/>
    <w:rsid w:val="00F005C3"/>
    <w:rsid w:val="00F03CF0"/>
    <w:rsid w:val="00F03D74"/>
    <w:rsid w:val="00F040B9"/>
    <w:rsid w:val="00F04A0B"/>
    <w:rsid w:val="00F075F7"/>
    <w:rsid w:val="00F11C30"/>
    <w:rsid w:val="00F12EED"/>
    <w:rsid w:val="00F14549"/>
    <w:rsid w:val="00F16B25"/>
    <w:rsid w:val="00F212DB"/>
    <w:rsid w:val="00F22CD1"/>
    <w:rsid w:val="00F23938"/>
    <w:rsid w:val="00F2405A"/>
    <w:rsid w:val="00F25A35"/>
    <w:rsid w:val="00F26F06"/>
    <w:rsid w:val="00F3192B"/>
    <w:rsid w:val="00F37BA8"/>
    <w:rsid w:val="00F37DF5"/>
    <w:rsid w:val="00F51ED6"/>
    <w:rsid w:val="00F650FA"/>
    <w:rsid w:val="00F66BFD"/>
    <w:rsid w:val="00F70BAF"/>
    <w:rsid w:val="00F7172A"/>
    <w:rsid w:val="00F71F16"/>
    <w:rsid w:val="00F7313C"/>
    <w:rsid w:val="00F73873"/>
    <w:rsid w:val="00F76E9B"/>
    <w:rsid w:val="00F82670"/>
    <w:rsid w:val="00F82AE9"/>
    <w:rsid w:val="00F83A2C"/>
    <w:rsid w:val="00F83B08"/>
    <w:rsid w:val="00F91774"/>
    <w:rsid w:val="00F95E74"/>
    <w:rsid w:val="00F961F8"/>
    <w:rsid w:val="00FA0A1D"/>
    <w:rsid w:val="00FA3F0E"/>
    <w:rsid w:val="00FA5741"/>
    <w:rsid w:val="00FB1A73"/>
    <w:rsid w:val="00FB2D6E"/>
    <w:rsid w:val="00FB46CB"/>
    <w:rsid w:val="00FB4B24"/>
    <w:rsid w:val="00FB62A3"/>
    <w:rsid w:val="00FB6AFF"/>
    <w:rsid w:val="00FC01D4"/>
    <w:rsid w:val="00FC09DD"/>
    <w:rsid w:val="00FC54D7"/>
    <w:rsid w:val="00FC636B"/>
    <w:rsid w:val="00FC7567"/>
    <w:rsid w:val="00FC7628"/>
    <w:rsid w:val="00FD0917"/>
    <w:rsid w:val="00FD0FF6"/>
    <w:rsid w:val="00FD32CE"/>
    <w:rsid w:val="00FD5C56"/>
    <w:rsid w:val="00FD75EB"/>
    <w:rsid w:val="00FE10C6"/>
    <w:rsid w:val="00FE28D7"/>
    <w:rsid w:val="00FE4389"/>
    <w:rsid w:val="00FE4E73"/>
    <w:rsid w:val="00FE65E2"/>
    <w:rsid w:val="00FE6A5F"/>
    <w:rsid w:val="00FF0185"/>
    <w:rsid w:val="00FF67EA"/>
    <w:rsid w:val="00FF6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ABAF"/>
  <w15:chartTrackingRefBased/>
  <w15:docId w15:val="{FD8DB5FF-D4DE-4A1E-ADDA-80E79627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57522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link w:val="Heading4Char"/>
    <w:uiPriority w:val="9"/>
    <w:qFormat/>
    <w:rsid w:val="00F7313C"/>
    <w:pPr>
      <w:spacing w:before="100" w:beforeAutospacing="1" w:after="100" w:afterAutospacing="1" w:line="240" w:lineRule="auto"/>
      <w:outlineLvl w:val="3"/>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D89"/>
  </w:style>
  <w:style w:type="paragraph" w:styleId="Footer">
    <w:name w:val="footer"/>
    <w:basedOn w:val="Normal"/>
    <w:link w:val="FooterChar"/>
    <w:uiPriority w:val="99"/>
    <w:unhideWhenUsed/>
    <w:rsid w:val="007C7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D89"/>
  </w:style>
  <w:style w:type="paragraph" w:styleId="NormalWeb">
    <w:name w:val="Normal (Web)"/>
    <w:basedOn w:val="Normal"/>
    <w:uiPriority w:val="99"/>
    <w:unhideWhenUsed/>
    <w:rsid w:val="00176833"/>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7C408D"/>
    <w:rPr>
      <w:color w:val="0563C1" w:themeColor="hyperlink"/>
      <w:u w:val="single"/>
    </w:rPr>
  </w:style>
  <w:style w:type="character" w:styleId="UnresolvedMention">
    <w:name w:val="Unresolved Mention"/>
    <w:basedOn w:val="DefaultParagraphFont"/>
    <w:uiPriority w:val="99"/>
    <w:semiHidden/>
    <w:unhideWhenUsed/>
    <w:rsid w:val="007C408D"/>
    <w:rPr>
      <w:color w:val="605E5C"/>
      <w:shd w:val="clear" w:color="auto" w:fill="E1DFDD"/>
    </w:rPr>
  </w:style>
  <w:style w:type="character" w:customStyle="1" w:styleId="Heading4Char">
    <w:name w:val="Heading 4 Char"/>
    <w:basedOn w:val="DefaultParagraphFont"/>
    <w:link w:val="Heading4"/>
    <w:uiPriority w:val="9"/>
    <w:rsid w:val="00F7313C"/>
    <w:rPr>
      <w:rFonts w:eastAsia="Times New Roman" w:cs="Times New Roman"/>
      <w:b/>
      <w:bCs/>
      <w:szCs w:val="24"/>
    </w:rPr>
  </w:style>
  <w:style w:type="character" w:customStyle="1" w:styleId="Heading3Char">
    <w:name w:val="Heading 3 Char"/>
    <w:basedOn w:val="DefaultParagraphFont"/>
    <w:link w:val="Heading3"/>
    <w:uiPriority w:val="9"/>
    <w:semiHidden/>
    <w:rsid w:val="00575228"/>
    <w:rPr>
      <w:rFonts w:asciiTheme="majorHAnsi" w:eastAsiaTheme="majorEastAsia" w:hAnsiTheme="majorHAnsi" w:cstheme="majorBidi"/>
      <w:color w:val="1F3763" w:themeColor="accent1" w:themeShade="7F"/>
      <w:szCs w:val="24"/>
    </w:rPr>
  </w:style>
  <w:style w:type="paragraph" w:styleId="BalloonText">
    <w:name w:val="Balloon Text"/>
    <w:basedOn w:val="Normal"/>
    <w:link w:val="BalloonTextChar"/>
    <w:uiPriority w:val="99"/>
    <w:semiHidden/>
    <w:unhideWhenUsed/>
    <w:rsid w:val="00DC5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D8F"/>
    <w:rPr>
      <w:rFonts w:ascii="Segoe UI" w:hAnsi="Segoe UI" w:cs="Segoe UI"/>
      <w:sz w:val="18"/>
      <w:szCs w:val="18"/>
    </w:rPr>
  </w:style>
  <w:style w:type="character" w:styleId="Strong">
    <w:name w:val="Strong"/>
    <w:basedOn w:val="DefaultParagraphFont"/>
    <w:uiPriority w:val="22"/>
    <w:qFormat/>
    <w:rsid w:val="007D5E94"/>
    <w:rPr>
      <w:b/>
      <w:bCs/>
    </w:rPr>
  </w:style>
  <w:style w:type="character" w:styleId="Emphasis">
    <w:name w:val="Emphasis"/>
    <w:basedOn w:val="DefaultParagraphFont"/>
    <w:uiPriority w:val="20"/>
    <w:qFormat/>
    <w:rsid w:val="007D5E94"/>
    <w:rPr>
      <w:i/>
      <w:iCs/>
    </w:rPr>
  </w:style>
  <w:style w:type="paragraph" w:styleId="ListParagraph">
    <w:name w:val="List Paragraph"/>
    <w:basedOn w:val="Normal"/>
    <w:uiPriority w:val="34"/>
    <w:qFormat/>
    <w:rsid w:val="00761E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22182">
      <w:bodyDiv w:val="1"/>
      <w:marLeft w:val="0"/>
      <w:marRight w:val="0"/>
      <w:marTop w:val="0"/>
      <w:marBottom w:val="0"/>
      <w:divBdr>
        <w:top w:val="none" w:sz="0" w:space="0" w:color="auto"/>
        <w:left w:val="none" w:sz="0" w:space="0" w:color="auto"/>
        <w:bottom w:val="none" w:sz="0" w:space="0" w:color="auto"/>
        <w:right w:val="none" w:sz="0" w:space="0" w:color="auto"/>
      </w:divBdr>
    </w:div>
    <w:div w:id="109324484">
      <w:bodyDiv w:val="1"/>
      <w:marLeft w:val="0"/>
      <w:marRight w:val="0"/>
      <w:marTop w:val="0"/>
      <w:marBottom w:val="0"/>
      <w:divBdr>
        <w:top w:val="none" w:sz="0" w:space="0" w:color="auto"/>
        <w:left w:val="none" w:sz="0" w:space="0" w:color="auto"/>
        <w:bottom w:val="none" w:sz="0" w:space="0" w:color="auto"/>
        <w:right w:val="none" w:sz="0" w:space="0" w:color="auto"/>
      </w:divBdr>
    </w:div>
    <w:div w:id="605160348">
      <w:bodyDiv w:val="1"/>
      <w:marLeft w:val="0"/>
      <w:marRight w:val="0"/>
      <w:marTop w:val="0"/>
      <w:marBottom w:val="0"/>
      <w:divBdr>
        <w:top w:val="none" w:sz="0" w:space="0" w:color="auto"/>
        <w:left w:val="none" w:sz="0" w:space="0" w:color="auto"/>
        <w:bottom w:val="none" w:sz="0" w:space="0" w:color="auto"/>
        <w:right w:val="none" w:sz="0" w:space="0" w:color="auto"/>
      </w:divBdr>
    </w:div>
    <w:div w:id="647322337">
      <w:bodyDiv w:val="1"/>
      <w:marLeft w:val="0"/>
      <w:marRight w:val="0"/>
      <w:marTop w:val="0"/>
      <w:marBottom w:val="0"/>
      <w:divBdr>
        <w:top w:val="none" w:sz="0" w:space="0" w:color="auto"/>
        <w:left w:val="none" w:sz="0" w:space="0" w:color="auto"/>
        <w:bottom w:val="none" w:sz="0" w:space="0" w:color="auto"/>
        <w:right w:val="none" w:sz="0" w:space="0" w:color="auto"/>
      </w:divBdr>
    </w:div>
    <w:div w:id="753748684">
      <w:bodyDiv w:val="1"/>
      <w:marLeft w:val="0"/>
      <w:marRight w:val="0"/>
      <w:marTop w:val="0"/>
      <w:marBottom w:val="0"/>
      <w:divBdr>
        <w:top w:val="none" w:sz="0" w:space="0" w:color="auto"/>
        <w:left w:val="none" w:sz="0" w:space="0" w:color="auto"/>
        <w:bottom w:val="none" w:sz="0" w:space="0" w:color="auto"/>
        <w:right w:val="none" w:sz="0" w:space="0" w:color="auto"/>
      </w:divBdr>
    </w:div>
    <w:div w:id="963924909">
      <w:bodyDiv w:val="1"/>
      <w:marLeft w:val="0"/>
      <w:marRight w:val="0"/>
      <w:marTop w:val="0"/>
      <w:marBottom w:val="0"/>
      <w:divBdr>
        <w:top w:val="none" w:sz="0" w:space="0" w:color="auto"/>
        <w:left w:val="none" w:sz="0" w:space="0" w:color="auto"/>
        <w:bottom w:val="none" w:sz="0" w:space="0" w:color="auto"/>
        <w:right w:val="none" w:sz="0" w:space="0" w:color="auto"/>
      </w:divBdr>
    </w:div>
    <w:div w:id="965236001">
      <w:bodyDiv w:val="1"/>
      <w:marLeft w:val="0"/>
      <w:marRight w:val="0"/>
      <w:marTop w:val="0"/>
      <w:marBottom w:val="0"/>
      <w:divBdr>
        <w:top w:val="none" w:sz="0" w:space="0" w:color="auto"/>
        <w:left w:val="none" w:sz="0" w:space="0" w:color="auto"/>
        <w:bottom w:val="none" w:sz="0" w:space="0" w:color="auto"/>
        <w:right w:val="none" w:sz="0" w:space="0" w:color="auto"/>
      </w:divBdr>
    </w:div>
    <w:div w:id="1394619410">
      <w:bodyDiv w:val="1"/>
      <w:marLeft w:val="0"/>
      <w:marRight w:val="0"/>
      <w:marTop w:val="0"/>
      <w:marBottom w:val="0"/>
      <w:divBdr>
        <w:top w:val="none" w:sz="0" w:space="0" w:color="auto"/>
        <w:left w:val="none" w:sz="0" w:space="0" w:color="auto"/>
        <w:bottom w:val="none" w:sz="0" w:space="0" w:color="auto"/>
        <w:right w:val="none" w:sz="0" w:space="0" w:color="auto"/>
      </w:divBdr>
    </w:div>
    <w:div w:id="1446927766">
      <w:bodyDiv w:val="1"/>
      <w:marLeft w:val="0"/>
      <w:marRight w:val="0"/>
      <w:marTop w:val="0"/>
      <w:marBottom w:val="0"/>
      <w:divBdr>
        <w:top w:val="none" w:sz="0" w:space="0" w:color="auto"/>
        <w:left w:val="none" w:sz="0" w:space="0" w:color="auto"/>
        <w:bottom w:val="none" w:sz="0" w:space="0" w:color="auto"/>
        <w:right w:val="none" w:sz="0" w:space="0" w:color="auto"/>
      </w:divBdr>
    </w:div>
    <w:div w:id="18240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381500802307492" TargetMode="External"/><Relationship Id="rId13" Type="http://schemas.openxmlformats.org/officeDocument/2006/relationships/hyperlink" Target="https://new.utc.edu/research/research-integrity/institutional-review-boar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x.doi.org/10.1891/2168-6653.33.1.5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j.0737-1209.2004.021211.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dc.gov/hiv/pdf/risk/cdc-hiv-syringe-exchange-services.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cdc.gov/nchhstp/dear_colleague/2016/dcl-112916-hiv-and-injection-drug-use.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0FE67-F9E4-4EC7-8685-9BD7343DA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8493</TotalTime>
  <Pages>21</Pages>
  <Words>5047</Words>
  <Characters>28772</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Donya Charlesworth</dc:creator>
  <cp:keywords/>
  <dc:description/>
  <cp:lastModifiedBy>Donya Marandi</cp:lastModifiedBy>
  <cp:revision>44</cp:revision>
  <cp:lastPrinted>2020-11-23T23:49:00Z</cp:lastPrinted>
  <dcterms:created xsi:type="dcterms:W3CDTF">2022-01-12T22:46:00Z</dcterms:created>
  <dcterms:modified xsi:type="dcterms:W3CDTF">2022-04-09T15:42:00Z</dcterms:modified>
</cp:coreProperties>
</file>