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FD07" w14:textId="3A292508" w:rsidR="00FE28D7" w:rsidRDefault="00FE28D7" w:rsidP="00D3181E">
      <w:pPr>
        <w:spacing w:line="480" w:lineRule="auto"/>
        <w:jc w:val="center"/>
      </w:pPr>
    </w:p>
    <w:p w14:paraId="577E7ABF" w14:textId="2A37DF3C" w:rsidR="00D3181E" w:rsidRDefault="00D3181E" w:rsidP="00D3181E">
      <w:pPr>
        <w:spacing w:line="480" w:lineRule="auto"/>
        <w:jc w:val="center"/>
      </w:pPr>
    </w:p>
    <w:p w14:paraId="3C7BBF36" w14:textId="72636038" w:rsidR="00D3181E" w:rsidRDefault="00D3181E" w:rsidP="00D3181E">
      <w:pPr>
        <w:spacing w:line="480" w:lineRule="auto"/>
        <w:jc w:val="center"/>
      </w:pPr>
    </w:p>
    <w:p w14:paraId="696F29DF" w14:textId="0D59A412" w:rsidR="00D3181E" w:rsidRDefault="00D3181E" w:rsidP="00D3181E">
      <w:pPr>
        <w:spacing w:line="480" w:lineRule="auto"/>
        <w:jc w:val="center"/>
      </w:pPr>
      <w:r>
        <w:rPr>
          <w:b/>
          <w:bCs/>
        </w:rPr>
        <w:t>ADHD Case Study</w:t>
      </w:r>
    </w:p>
    <w:p w14:paraId="42F807BA" w14:textId="614DBED0" w:rsidR="00D3181E" w:rsidRDefault="00D3181E" w:rsidP="00D3181E">
      <w:pPr>
        <w:spacing w:line="480" w:lineRule="auto"/>
        <w:jc w:val="center"/>
      </w:pPr>
      <w:r>
        <w:t>Donya</w:t>
      </w:r>
      <w:r w:rsidR="00A23C0A">
        <w:t xml:space="preserve"> S. Marandi</w:t>
      </w:r>
    </w:p>
    <w:p w14:paraId="1E88795B" w14:textId="3D7D635A" w:rsidR="002E1E45" w:rsidRDefault="002E1E45" w:rsidP="00D3181E">
      <w:pPr>
        <w:spacing w:line="480" w:lineRule="auto"/>
        <w:jc w:val="center"/>
      </w:pPr>
      <w:r>
        <w:t>Department of Nursing: The University of Tennessee at Chattanooga</w:t>
      </w:r>
    </w:p>
    <w:p w14:paraId="03864703" w14:textId="606254DE" w:rsidR="00D3181E" w:rsidRDefault="00D3181E" w:rsidP="00D3181E">
      <w:pPr>
        <w:spacing w:line="480" w:lineRule="auto"/>
        <w:jc w:val="center"/>
      </w:pPr>
      <w:r>
        <w:t>NURS 5520: Primary Care of Children</w:t>
      </w:r>
    </w:p>
    <w:p w14:paraId="375EA58F" w14:textId="225F0E0F" w:rsidR="00D3181E" w:rsidRDefault="00D3181E" w:rsidP="00D3181E">
      <w:pPr>
        <w:spacing w:line="480" w:lineRule="auto"/>
        <w:jc w:val="center"/>
      </w:pPr>
      <w:r>
        <w:t>Dr. Marissa Bunch and Professor Natalie Owsley</w:t>
      </w:r>
    </w:p>
    <w:p w14:paraId="33AB0927" w14:textId="0E41D8C5" w:rsidR="00D3181E" w:rsidRDefault="00D3181E" w:rsidP="00D3181E">
      <w:pPr>
        <w:spacing w:line="480" w:lineRule="auto"/>
        <w:jc w:val="center"/>
      </w:pPr>
      <w:r>
        <w:t>March 2, 2021</w:t>
      </w:r>
    </w:p>
    <w:p w14:paraId="0F25C833" w14:textId="377DFCB5" w:rsidR="00D3181E" w:rsidRDefault="00D3181E" w:rsidP="00D3181E">
      <w:pPr>
        <w:spacing w:line="480" w:lineRule="auto"/>
        <w:jc w:val="center"/>
      </w:pPr>
    </w:p>
    <w:p w14:paraId="77547DB9" w14:textId="7F681777" w:rsidR="00D3181E" w:rsidRDefault="00D3181E" w:rsidP="00D3181E">
      <w:pPr>
        <w:spacing w:line="480" w:lineRule="auto"/>
        <w:jc w:val="center"/>
      </w:pPr>
    </w:p>
    <w:p w14:paraId="57593AC6" w14:textId="1530923A" w:rsidR="00D3181E" w:rsidRDefault="00D3181E" w:rsidP="00D3181E">
      <w:pPr>
        <w:spacing w:line="480" w:lineRule="auto"/>
        <w:jc w:val="center"/>
      </w:pPr>
    </w:p>
    <w:p w14:paraId="03667BD0" w14:textId="0DA88BA5" w:rsidR="00D3181E" w:rsidRDefault="00D3181E" w:rsidP="00D3181E">
      <w:pPr>
        <w:spacing w:line="480" w:lineRule="auto"/>
        <w:jc w:val="center"/>
      </w:pPr>
    </w:p>
    <w:p w14:paraId="1601EB72" w14:textId="62B23839" w:rsidR="00D3181E" w:rsidRDefault="00D3181E" w:rsidP="00D3181E">
      <w:pPr>
        <w:spacing w:line="480" w:lineRule="auto"/>
        <w:jc w:val="center"/>
      </w:pPr>
    </w:p>
    <w:p w14:paraId="6A23CB4E" w14:textId="7A3B5F0D" w:rsidR="00D3181E" w:rsidRDefault="00D3181E" w:rsidP="00D3181E">
      <w:pPr>
        <w:spacing w:line="480" w:lineRule="auto"/>
        <w:jc w:val="center"/>
      </w:pPr>
    </w:p>
    <w:p w14:paraId="52BA6F41" w14:textId="554B026E" w:rsidR="00D3181E" w:rsidRDefault="00D3181E" w:rsidP="00D3181E">
      <w:pPr>
        <w:spacing w:line="480" w:lineRule="auto"/>
        <w:jc w:val="center"/>
      </w:pPr>
    </w:p>
    <w:p w14:paraId="39A90C6E" w14:textId="254EA2F7" w:rsidR="00D3181E" w:rsidRDefault="00D3181E" w:rsidP="00D3181E">
      <w:pPr>
        <w:spacing w:line="480" w:lineRule="auto"/>
        <w:jc w:val="center"/>
      </w:pPr>
    </w:p>
    <w:p w14:paraId="54CEB0C0" w14:textId="185F997B" w:rsidR="00D3181E" w:rsidRDefault="00D3181E" w:rsidP="00D3181E">
      <w:pPr>
        <w:spacing w:line="480" w:lineRule="auto"/>
        <w:jc w:val="center"/>
      </w:pPr>
    </w:p>
    <w:p w14:paraId="268FD475" w14:textId="76D65EFF" w:rsidR="00D3181E" w:rsidRDefault="00D3181E" w:rsidP="00D3181E">
      <w:pPr>
        <w:spacing w:line="480" w:lineRule="auto"/>
        <w:jc w:val="center"/>
      </w:pPr>
    </w:p>
    <w:p w14:paraId="5FA34772" w14:textId="7BFB6F9E" w:rsidR="00D3181E" w:rsidRDefault="00D3181E" w:rsidP="00D3181E">
      <w:pPr>
        <w:spacing w:line="480" w:lineRule="auto"/>
        <w:jc w:val="center"/>
        <w:rPr>
          <w:b/>
          <w:bCs/>
        </w:rPr>
      </w:pPr>
      <w:r>
        <w:rPr>
          <w:b/>
          <w:bCs/>
        </w:rPr>
        <w:t>ADHD Case Study</w:t>
      </w:r>
    </w:p>
    <w:p w14:paraId="77F5F19D" w14:textId="43248DF4" w:rsidR="0087722D" w:rsidRDefault="0087722D" w:rsidP="0087722D">
      <w:pPr>
        <w:spacing w:line="480" w:lineRule="auto"/>
      </w:pPr>
      <w:r>
        <w:tab/>
        <w:t>Emily is a 10-year old girl brought to the clinic by her mother with concerns that she is not doing well at school. Emily’s mother reports daydreaming, increased struggling in school, and specified some other instances of inattentiveness. According to Emily’s chart, the review of symptoms is negative for recent illness, headaches, significant weight changes, heat or cold intolerance, seizure, or vision or hearing problems. Past medical history includes routine well-</w:t>
      </w:r>
      <w:proofErr w:type="gramStart"/>
      <w:r>
        <w:t>child care</w:t>
      </w:r>
      <w:proofErr w:type="gramEnd"/>
      <w:r>
        <w:t xml:space="preserve">, no hospitalizations or surgeries, and no regular medications. Emily was born after an uncomplicated, full-term pregnancy, and her mother did not use any substances during pregnancy. Emily met all early developmental milestones on time. </w:t>
      </w:r>
    </w:p>
    <w:p w14:paraId="3B6F8DF6" w14:textId="4A72F9B8" w:rsidR="0087722D" w:rsidRDefault="0087722D" w:rsidP="0087722D">
      <w:pPr>
        <w:spacing w:line="480" w:lineRule="auto"/>
      </w:pPr>
      <w:r>
        <w:tab/>
        <w:t>The school psychologist evaluated Emily and found average I</w:t>
      </w:r>
      <w:r w:rsidR="002E1E45">
        <w:t>.Q.</w:t>
      </w:r>
      <w:r>
        <w:t xml:space="preserve"> scores with low average scores on processing speed tests. Emily’s mother and teacher filled out the NICHQ Vanderbilt Assessment Scale. Emily scored firmly in the predominantly inattentive subtype of attention deficit hyperactive disorder (ADHD). Additionally, the teacher’s assessment reveals a possible learning disorder. </w:t>
      </w:r>
    </w:p>
    <w:p w14:paraId="0A5F054C" w14:textId="65525721" w:rsidR="0087722D" w:rsidRDefault="0087722D" w:rsidP="0087722D">
      <w:pPr>
        <w:spacing w:line="480" w:lineRule="auto"/>
      </w:pPr>
      <w:r>
        <w:tab/>
        <w:t>The differential diagnosis for Emily includes bipolar disorder, learning disability, ADHD predominantly inattentive subtype, autism spectrum disorder, and seizure disorder</w:t>
      </w:r>
      <w:r w:rsidR="000B280A">
        <w:t xml:space="preserve"> (Krull, 2019)</w:t>
      </w:r>
      <w:r>
        <w:t xml:space="preserve">. Emily’s mother did not report any disturbances in her sleep patterns; however, I would make sure to ask about them to help rule out bipolar disorder specifically. Because of the Vanderbilt Assessment Scale scoring and the lack of seizure history, I think it is warranted to rule out a seizure disorder. Continuing with the Vanderbilt Assessment tool, Emily’s most likely diagnosis is ADHD predominantly inattentive subtype with a learning disability. </w:t>
      </w:r>
    </w:p>
    <w:p w14:paraId="02BC0B1F" w14:textId="1F961FD0" w:rsidR="002E1E45" w:rsidRDefault="002E1E45" w:rsidP="0087722D">
      <w:pPr>
        <w:spacing w:line="480" w:lineRule="auto"/>
      </w:pPr>
      <w:r>
        <w:lastRenderedPageBreak/>
        <w:tab/>
        <w:t>Before starting any new medication, Emily will need a full assessment and work-up.  Family history reveals no cardiac defects, arrhythmias, or sudden deaths under the age of 50 years old. Regardless, Emily needs complete cardiac and neurological exams to assess for any abnormalities. I will also check her thyroid function, hemoglobin, hematocrit, lead level, and repeat hearing and vision exams. Because she is school-age, I would order a urine drug screen. She is still young, but because her mother is worried about missing social cues, I want to make sure she is not self-medicating. Psychosocial assessment should include any changes at home or school, stressors in Emily’s life, and sleep patterns.</w:t>
      </w:r>
    </w:p>
    <w:p w14:paraId="5CC7B53F" w14:textId="542105D4" w:rsidR="002E1E45" w:rsidRDefault="002E1E45" w:rsidP="0087722D">
      <w:pPr>
        <w:spacing w:line="480" w:lineRule="auto"/>
      </w:pPr>
      <w:r>
        <w:tab/>
        <w:t xml:space="preserve">Emily is at an age that is common for an ADHD diagnosis. Barring any abnormal results from assessment and lab work, it is reasonable to begin Emily on a stimulant medication such as Adderall in conjunction with behavior therapy. For Emily, I would start </w:t>
      </w:r>
      <w:proofErr w:type="spellStart"/>
      <w:r>
        <w:t>lisdexamfetamine</w:t>
      </w:r>
      <w:proofErr w:type="spellEnd"/>
      <w:r>
        <w:t xml:space="preserve"> (Vyvanse) at 20 mg per day in the morning. I chose an extended-release medication to dose Emily once per day and let the medication effects last throughout the school day. I would educate both Emily and her mother that we are starting at the lowest dose and can increase as needed. Per Lexicomp (2021), </w:t>
      </w:r>
      <w:proofErr w:type="spellStart"/>
      <w:r>
        <w:t>lisdexamfetamine</w:t>
      </w:r>
      <w:proofErr w:type="spellEnd"/>
      <w:r>
        <w:t xml:space="preserve"> can be increased by 10 mg/day every 3</w:t>
      </w:r>
      <w:r w:rsidR="000B280A">
        <w:t xml:space="preserve">- </w:t>
      </w:r>
      <w:r>
        <w:t>to 7</w:t>
      </w:r>
      <w:r w:rsidR="000B280A">
        <w:t>-</w:t>
      </w:r>
      <w:r>
        <w:t xml:space="preserve">day intervals.  </w:t>
      </w:r>
    </w:p>
    <w:p w14:paraId="553D6252" w14:textId="77777777" w:rsidR="00CC0013" w:rsidRDefault="002E1E45" w:rsidP="00CC0013">
      <w:pPr>
        <w:spacing w:line="480" w:lineRule="auto"/>
        <w:ind w:firstLine="720"/>
      </w:pPr>
      <w:r>
        <w:t>Regarding behavioral counseling, family counseling is most effective, but tips and informational handouts can be given to Emily and her mother in the office.</w:t>
      </w:r>
      <w:r w:rsidR="000B280A">
        <w:t xml:space="preserve"> I would make sure that Emily’s mother can follow-up with both counseling and the office. If Emily and her mother don’t notice any improvement in the next 3- to 7- days, they should return to the office.  I would counsel them on the common side effects and correct usage of the medication. A referral to a developmental/behavioral pediatrician is appropriate to address Emily’s possible learning disability. I’d like to see Emily back in the office in one week to evaluate her treatment.  </w:t>
      </w:r>
    </w:p>
    <w:p w14:paraId="4809EC03" w14:textId="5353E9CE" w:rsidR="0087722D" w:rsidRDefault="0087722D" w:rsidP="00CC0013">
      <w:pPr>
        <w:spacing w:line="480" w:lineRule="auto"/>
        <w:ind w:firstLine="720"/>
        <w:jc w:val="center"/>
        <w:rPr>
          <w:b/>
          <w:bCs/>
        </w:rPr>
      </w:pPr>
      <w:r>
        <w:rPr>
          <w:b/>
          <w:bCs/>
        </w:rPr>
        <w:lastRenderedPageBreak/>
        <w:t>References</w:t>
      </w:r>
    </w:p>
    <w:p w14:paraId="5B2CE50F" w14:textId="6AE3E99E" w:rsidR="000B280A" w:rsidRPr="000B280A" w:rsidRDefault="000B280A" w:rsidP="002E1E45">
      <w:pPr>
        <w:pStyle w:val="NormalWeb"/>
        <w:spacing w:line="480" w:lineRule="auto"/>
        <w:ind w:left="567" w:hanging="567"/>
      </w:pPr>
      <w:r>
        <w:t xml:space="preserve">Krull, K.R. (2019). Attention deficit hyperactive disorder in children and adolescents: Clinical features and diagnosis. In T.W. Post (Ed.), </w:t>
      </w:r>
      <w:r>
        <w:rPr>
          <w:i/>
          <w:iCs/>
        </w:rPr>
        <w:t>UpToDate</w:t>
      </w:r>
      <w:r>
        <w:t xml:space="preserve">. UpToDate. </w:t>
      </w:r>
    </w:p>
    <w:p w14:paraId="64C3459A" w14:textId="22E58BB2" w:rsidR="002E1E45" w:rsidRPr="002E1E45" w:rsidRDefault="002E1E45" w:rsidP="002E1E45">
      <w:pPr>
        <w:pStyle w:val="NormalWeb"/>
        <w:spacing w:line="480" w:lineRule="auto"/>
        <w:ind w:left="567" w:hanging="567"/>
      </w:pPr>
      <w:r>
        <w:t xml:space="preserve">Lexicomp. (2021). </w:t>
      </w:r>
      <w:proofErr w:type="spellStart"/>
      <w:r>
        <w:t>Lisdexamfetamine</w:t>
      </w:r>
      <w:proofErr w:type="spellEnd"/>
      <w:r>
        <w:t xml:space="preserve">: Pediatric drug information. In T.W. Post (Ed.), </w:t>
      </w:r>
      <w:r>
        <w:rPr>
          <w:i/>
          <w:iCs/>
        </w:rPr>
        <w:t>UpToDate</w:t>
      </w:r>
      <w:r>
        <w:t>. UpToDate.</w:t>
      </w:r>
    </w:p>
    <w:p w14:paraId="2286358F" w14:textId="12E34B21" w:rsidR="0087722D" w:rsidRPr="0087722D" w:rsidRDefault="0087722D" w:rsidP="0087722D">
      <w:pPr>
        <w:spacing w:line="480" w:lineRule="auto"/>
      </w:pPr>
      <w:r>
        <w:tab/>
        <w:t xml:space="preserve">  </w:t>
      </w:r>
    </w:p>
    <w:sectPr w:rsidR="0087722D" w:rsidRPr="0087722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76852" w14:textId="77777777" w:rsidR="002B0279" w:rsidRDefault="002B0279" w:rsidP="00D3181E">
      <w:pPr>
        <w:spacing w:after="0" w:line="240" w:lineRule="auto"/>
      </w:pPr>
      <w:r>
        <w:separator/>
      </w:r>
    </w:p>
  </w:endnote>
  <w:endnote w:type="continuationSeparator" w:id="0">
    <w:p w14:paraId="04D7DADA" w14:textId="77777777" w:rsidR="002B0279" w:rsidRDefault="002B0279" w:rsidP="00D31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B88E6" w14:textId="77777777" w:rsidR="002B0279" w:rsidRDefault="002B0279" w:rsidP="00D3181E">
      <w:pPr>
        <w:spacing w:after="0" w:line="240" w:lineRule="auto"/>
      </w:pPr>
      <w:r>
        <w:separator/>
      </w:r>
    </w:p>
  </w:footnote>
  <w:footnote w:type="continuationSeparator" w:id="0">
    <w:p w14:paraId="2211BFAC" w14:textId="77777777" w:rsidR="002B0279" w:rsidRDefault="002B0279" w:rsidP="00D31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932449"/>
      <w:docPartObj>
        <w:docPartGallery w:val="Page Numbers (Top of Page)"/>
        <w:docPartUnique/>
      </w:docPartObj>
    </w:sdtPr>
    <w:sdtEndPr>
      <w:rPr>
        <w:noProof/>
      </w:rPr>
    </w:sdtEndPr>
    <w:sdtContent>
      <w:p w14:paraId="7AA987C6" w14:textId="7ECF514E" w:rsidR="002E1E45" w:rsidRDefault="002E1E4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F0E27F" w14:textId="77777777" w:rsidR="002E1E45" w:rsidRDefault="002E1E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AwsbC0MDQ1MrO0tDRT0lEKTi0uzszPAykwqgUAA/15oiwAAAA="/>
  </w:docVars>
  <w:rsids>
    <w:rsidRoot w:val="00D3181E"/>
    <w:rsid w:val="000B280A"/>
    <w:rsid w:val="002B0279"/>
    <w:rsid w:val="002E1E45"/>
    <w:rsid w:val="00440AFE"/>
    <w:rsid w:val="004F30D4"/>
    <w:rsid w:val="0087722D"/>
    <w:rsid w:val="009165AB"/>
    <w:rsid w:val="00A23C0A"/>
    <w:rsid w:val="00CC0013"/>
    <w:rsid w:val="00D3181E"/>
    <w:rsid w:val="00FE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72DF"/>
  <w15:chartTrackingRefBased/>
  <w15:docId w15:val="{9DF8D33D-8E96-4143-A006-26FBCBC3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81E"/>
  </w:style>
  <w:style w:type="paragraph" w:styleId="Footer">
    <w:name w:val="footer"/>
    <w:basedOn w:val="Normal"/>
    <w:link w:val="FooterChar"/>
    <w:uiPriority w:val="99"/>
    <w:unhideWhenUsed/>
    <w:rsid w:val="00D31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81E"/>
  </w:style>
  <w:style w:type="paragraph" w:styleId="NormalWeb">
    <w:name w:val="Normal (Web)"/>
    <w:basedOn w:val="Normal"/>
    <w:uiPriority w:val="99"/>
    <w:unhideWhenUsed/>
    <w:rsid w:val="002E1E4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9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2719</TotalTime>
  <Pages>4</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Donya Charlesworth</dc:creator>
  <cp:keywords/>
  <dc:description/>
  <cp:lastModifiedBy>Donya Marandi</cp:lastModifiedBy>
  <cp:revision>5</cp:revision>
  <dcterms:created xsi:type="dcterms:W3CDTF">2021-02-26T21:36:00Z</dcterms:created>
  <dcterms:modified xsi:type="dcterms:W3CDTF">2022-01-21T19:49:00Z</dcterms:modified>
</cp:coreProperties>
</file>